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4814"/>
        <w:gridCol w:w="4814"/>
      </w:tblGrid>
      <w:tr w:rsidR="00071F6F" w:rsidRPr="002739B9" w:rsidTr="00071F6F">
        <w:tc>
          <w:tcPr>
            <w:tcW w:w="4814" w:type="dxa"/>
          </w:tcPr>
          <w:p w:rsidR="00752594" w:rsidRPr="00752594" w:rsidRDefault="00752594" w:rsidP="00752594">
            <w:pPr>
              <w:pStyle w:val="Default"/>
              <w:jc w:val="center"/>
              <w:rPr>
                <w:b/>
                <w:i/>
                <w:iCs/>
                <w:sz w:val="28"/>
                <w:szCs w:val="28"/>
                <w:lang w:val="en-GB"/>
              </w:rPr>
            </w:pPr>
            <w:r w:rsidRPr="00752594">
              <w:rPr>
                <w:b/>
                <w:i/>
                <w:iCs/>
                <w:sz w:val="28"/>
                <w:szCs w:val="28"/>
                <w:lang w:val="en-GB"/>
              </w:rPr>
              <w:t>Article 14 Co-financing rates</w:t>
            </w:r>
          </w:p>
          <w:p w:rsidR="004D5BFF" w:rsidRPr="004D5BFF" w:rsidRDefault="004D5BFF" w:rsidP="00752594">
            <w:pPr>
              <w:jc w:val="center"/>
              <w:rPr>
                <w:b/>
                <w:lang w:val="en-GB"/>
              </w:rPr>
            </w:pPr>
            <w:hyperlink r:id="rId5" w:history="1">
              <w:r w:rsidRPr="004D5BFF">
                <w:rPr>
                  <w:rStyle w:val="Collegamentoipertestuale"/>
                  <w:rFonts w:ascii="Times New Roman"/>
                  <w:sz w:val="16"/>
                  <w:szCs w:val="16"/>
                  <w:lang w:val="en-GB"/>
                </w:rPr>
                <w:t>general-secretariat-of-the-council-progress-report-regolamento-cef-13-marzo-2019-consil_st_7207_2019_rev_1_en_txt</w:t>
              </w:r>
            </w:hyperlink>
          </w:p>
        </w:tc>
        <w:tc>
          <w:tcPr>
            <w:tcW w:w="4814" w:type="dxa"/>
          </w:tcPr>
          <w:p w:rsidR="00752594" w:rsidRPr="00752594" w:rsidRDefault="00752594" w:rsidP="00752594">
            <w:pPr>
              <w:pStyle w:val="Default"/>
              <w:jc w:val="center"/>
              <w:rPr>
                <w:b/>
                <w:sz w:val="28"/>
                <w:szCs w:val="28"/>
                <w:lang w:val="it-IT"/>
              </w:rPr>
            </w:pPr>
            <w:r w:rsidRPr="00752594">
              <w:rPr>
                <w:b/>
                <w:i/>
                <w:iCs/>
                <w:sz w:val="28"/>
                <w:szCs w:val="28"/>
                <w:lang w:val="it-IT"/>
              </w:rPr>
              <w:t>Articolo 14 Tassi di cofinanziamento</w:t>
            </w:r>
          </w:p>
          <w:p w:rsidR="00752594" w:rsidRPr="002739B9" w:rsidRDefault="002739B9" w:rsidP="002739B9">
            <w:pPr>
              <w:jc w:val="center"/>
              <w:rPr>
                <w:b/>
                <w:lang w:val="it-IT"/>
              </w:rPr>
            </w:pPr>
            <w:hyperlink r:id="rId6" w:history="1">
              <w:r w:rsidRPr="002739B9">
                <w:rPr>
                  <w:rStyle w:val="Collegamentoipertestuale"/>
                  <w:rFonts w:ascii="Times New Roman"/>
                  <w:sz w:val="16"/>
                  <w:szCs w:val="16"/>
                  <w:lang w:val="it-IT"/>
                </w:rPr>
                <w:t>https://eur-lex.europa.eu/resource.html?uri=cellar:da5da09e-6a5a-11e8-9483-01aa75ed71a1.0023.02/DOC_1&amp;format=PDF</w:t>
              </w:r>
            </w:hyperlink>
            <w:bookmarkStart w:id="0" w:name="_GoBack"/>
            <w:bookmarkEnd w:id="0"/>
          </w:p>
        </w:tc>
      </w:tr>
      <w:tr w:rsidR="00071F6F" w:rsidRPr="00D86836" w:rsidTr="00071F6F">
        <w:tc>
          <w:tcPr>
            <w:tcW w:w="4814" w:type="dxa"/>
          </w:tcPr>
          <w:p w:rsidR="00BB0EEB" w:rsidRPr="00752594" w:rsidRDefault="00071F6F" w:rsidP="00BB0EEB">
            <w:pPr>
              <w:pStyle w:val="Default"/>
              <w:jc w:val="both"/>
              <w:rPr>
                <w:b/>
                <w:i/>
                <w:iCs/>
                <w:lang w:val="en-GB"/>
              </w:rPr>
            </w:pPr>
            <w:r w:rsidRPr="00752594">
              <w:rPr>
                <w:b/>
                <w:i/>
                <w:iCs/>
                <w:lang w:val="en-GB"/>
              </w:rPr>
              <w:t xml:space="preserve">Article 14 Co-financing rates </w:t>
            </w:r>
          </w:p>
          <w:p w:rsidR="00071F6F" w:rsidRPr="00752594" w:rsidRDefault="00BB0EEB" w:rsidP="00BB0EEB">
            <w:pPr>
              <w:pStyle w:val="Default"/>
              <w:jc w:val="both"/>
              <w:rPr>
                <w:lang w:val="en-GB"/>
              </w:rPr>
            </w:pPr>
            <w:r w:rsidRPr="00752594">
              <w:rPr>
                <w:color w:val="auto"/>
                <w:lang w:val="en-GB"/>
              </w:rPr>
              <w:t xml:space="preserve">1. </w:t>
            </w:r>
            <w:r w:rsidR="00071F6F" w:rsidRPr="00752594">
              <w:rPr>
                <w:color w:val="auto"/>
                <w:lang w:val="en-GB"/>
              </w:rPr>
              <w:t>For studies, the amount of Union financial assistance shall not exceed 50 % of the total eligible cost</w:t>
            </w:r>
            <w:r w:rsidR="00071F6F" w:rsidRPr="00752594">
              <w:rPr>
                <w:b/>
                <w:color w:val="0070C0"/>
                <w:lang w:val="en-GB"/>
              </w:rPr>
              <w:t>.</w:t>
            </w:r>
            <w:r w:rsidR="00071F6F" w:rsidRPr="00752594">
              <w:rPr>
                <w:color w:val="0070C0"/>
                <w:lang w:val="en-GB"/>
              </w:rPr>
              <w:t xml:space="preserve"> </w:t>
            </w:r>
            <w:r w:rsidR="00071F6F" w:rsidRPr="00752594">
              <w:rPr>
                <w:lang w:val="en-GB"/>
              </w:rPr>
              <w:t xml:space="preserve">For studies financed with the amounts transferred from the Cohesion Fund, the maximum co-financing rates shall be those applicable to the Cohesion Fund as specified in paragraph 2(b). </w:t>
            </w:r>
          </w:p>
          <w:p w:rsidR="00BB0EEB" w:rsidRPr="00752594" w:rsidRDefault="00BB0EEB" w:rsidP="00BB0EEB">
            <w:pPr>
              <w:pStyle w:val="Default"/>
              <w:jc w:val="both"/>
              <w:rPr>
                <w:lang w:val="en-GB"/>
              </w:rPr>
            </w:pPr>
          </w:p>
          <w:p w:rsidR="00071F6F" w:rsidRPr="00752594" w:rsidRDefault="00071F6F" w:rsidP="00BB0EEB">
            <w:pPr>
              <w:pStyle w:val="Default"/>
              <w:jc w:val="both"/>
              <w:rPr>
                <w:lang w:val="en-GB"/>
              </w:rPr>
            </w:pPr>
            <w:r w:rsidRPr="00752594">
              <w:rPr>
                <w:lang w:val="en-GB"/>
              </w:rPr>
              <w:t xml:space="preserve">2. For works in the transport sector, the following maximum co-financing rates shall apply: </w:t>
            </w:r>
          </w:p>
          <w:p w:rsidR="00BB0EEB" w:rsidRPr="00752594" w:rsidRDefault="00BB0EEB" w:rsidP="00BB0EEB">
            <w:pPr>
              <w:pStyle w:val="Default"/>
              <w:jc w:val="both"/>
              <w:rPr>
                <w:lang w:val="en-GB"/>
              </w:rPr>
            </w:pPr>
          </w:p>
          <w:p w:rsidR="00BB0EEB" w:rsidRPr="00752594" w:rsidRDefault="00071F6F" w:rsidP="00BB0EEB">
            <w:pPr>
              <w:pStyle w:val="Default"/>
              <w:jc w:val="both"/>
              <w:rPr>
                <w:lang w:val="en-GB"/>
              </w:rPr>
            </w:pPr>
            <w:r w:rsidRPr="00752594">
              <w:rPr>
                <w:lang w:val="en-GB"/>
              </w:rPr>
              <w:t>(a) for works relating to the specific objectives referred to in Article 3 (2) (a</w:t>
            </w:r>
            <w:r w:rsidR="00BB0EEB" w:rsidRPr="00752594">
              <w:rPr>
                <w:lang w:val="en-GB"/>
              </w:rPr>
              <w:t xml:space="preserve">) </w:t>
            </w:r>
            <w:r w:rsidRPr="00752594">
              <w:rPr>
                <w:b/>
                <w:bCs/>
                <w:color w:val="FF0000"/>
                <w:lang w:val="en-GB"/>
              </w:rPr>
              <w:t>(</w:t>
            </w:r>
            <w:proofErr w:type="spellStart"/>
            <w:r w:rsidRPr="00752594">
              <w:rPr>
                <w:b/>
                <w:bCs/>
                <w:color w:val="FF0000"/>
                <w:lang w:val="en-GB"/>
              </w:rPr>
              <w:t>i</w:t>
            </w:r>
            <w:proofErr w:type="spellEnd"/>
            <w:r w:rsidRPr="00752594">
              <w:rPr>
                <w:color w:val="FF0000"/>
                <w:lang w:val="en-GB"/>
              </w:rPr>
              <w:t xml:space="preserve">), </w:t>
            </w:r>
            <w:r w:rsidRPr="00752594">
              <w:rPr>
                <w:lang w:val="en-GB"/>
              </w:rPr>
              <w:t>the amount of Union financial assistance shall not exceed 30 % of the total eligible cost.</w:t>
            </w:r>
          </w:p>
          <w:p w:rsidR="00BB0EEB" w:rsidRPr="00752594" w:rsidRDefault="00BB0EEB" w:rsidP="00BB0EEB">
            <w:pPr>
              <w:pStyle w:val="Default"/>
              <w:jc w:val="both"/>
              <w:rPr>
                <w:lang w:val="en-GB"/>
              </w:rPr>
            </w:pPr>
          </w:p>
          <w:p w:rsidR="00752594" w:rsidRDefault="00752594" w:rsidP="00BB0EEB">
            <w:pPr>
              <w:pStyle w:val="Default"/>
              <w:jc w:val="both"/>
              <w:rPr>
                <w:lang w:val="en-GB"/>
              </w:rPr>
            </w:pPr>
          </w:p>
          <w:p w:rsidR="00071F6F" w:rsidRPr="00752594" w:rsidRDefault="00071F6F" w:rsidP="00BB0EEB">
            <w:pPr>
              <w:pStyle w:val="Default"/>
              <w:jc w:val="both"/>
              <w:rPr>
                <w:lang w:val="en-GB"/>
              </w:rPr>
            </w:pPr>
            <w:r w:rsidRPr="00752594">
              <w:rPr>
                <w:lang w:val="en-GB"/>
              </w:rPr>
              <w:t xml:space="preserve">The co-financing rates may be increased to a maximum </w:t>
            </w:r>
            <w:r w:rsidRPr="00752594">
              <w:rPr>
                <w:b/>
                <w:color w:val="0070C0"/>
                <w:lang w:val="en-GB"/>
              </w:rPr>
              <w:t xml:space="preserve">of 50 % for actions relating to cross-border links under the conditions specified in point (c) </w:t>
            </w:r>
            <w:r w:rsidRPr="00752594">
              <w:rPr>
                <w:lang w:val="en-GB"/>
              </w:rPr>
              <w:t xml:space="preserve">of this paragraph, for actions supporting telematic applications systems, </w:t>
            </w:r>
            <w:r w:rsidRPr="00752594">
              <w:rPr>
                <w:b/>
                <w:bCs/>
                <w:i/>
                <w:iCs/>
                <w:lang w:val="en-GB"/>
              </w:rPr>
              <w:t>for actions supporting inland waterways</w:t>
            </w:r>
            <w:r w:rsidRPr="00752594">
              <w:rPr>
                <w:lang w:val="en-GB"/>
              </w:rPr>
              <w:t xml:space="preserve">, </w:t>
            </w:r>
            <w:r w:rsidRPr="00752594">
              <w:rPr>
                <w:b/>
                <w:bCs/>
                <w:lang w:val="en-GB"/>
              </w:rPr>
              <w:t xml:space="preserve">railway interoperability, </w:t>
            </w:r>
            <w:r w:rsidRPr="00752594">
              <w:rPr>
                <w:lang w:val="en-GB"/>
              </w:rPr>
              <w:t xml:space="preserve">for actions supporting new technologies and innovation, for actions supporting improvements of infrastructure </w:t>
            </w:r>
            <w:r w:rsidRPr="00752594">
              <w:rPr>
                <w:b/>
                <w:bCs/>
                <w:lang w:val="en-GB"/>
              </w:rPr>
              <w:t xml:space="preserve">for </w:t>
            </w:r>
            <w:r w:rsidRPr="00752594">
              <w:rPr>
                <w:lang w:val="en-GB"/>
              </w:rPr>
              <w:t xml:space="preserve">safety </w:t>
            </w:r>
            <w:r w:rsidRPr="00752594">
              <w:rPr>
                <w:b/>
                <w:bCs/>
                <w:lang w:val="en-GB"/>
              </w:rPr>
              <w:t xml:space="preserve">and for actions adapting the transport infrastructure for Union external border checks purposes, </w:t>
            </w:r>
            <w:r w:rsidRPr="00752594">
              <w:rPr>
                <w:lang w:val="en-GB"/>
              </w:rPr>
              <w:t>in line with relevant Union legislation</w:t>
            </w:r>
            <w:r w:rsidRPr="00752594">
              <w:rPr>
                <w:b/>
                <w:bCs/>
                <w:lang w:val="en-GB"/>
              </w:rPr>
              <w:t xml:space="preserve">. </w:t>
            </w:r>
            <w:r w:rsidRPr="00752594">
              <w:rPr>
                <w:lang w:val="en-GB"/>
              </w:rPr>
              <w:t xml:space="preserve">For actions located in outermost regions </w:t>
            </w:r>
            <w:r w:rsidRPr="00752594">
              <w:rPr>
                <w:b/>
                <w:bCs/>
                <w:lang w:val="en-GB"/>
              </w:rPr>
              <w:t>the co-financing rates shall be set to a maximum of 70%</w:t>
            </w:r>
            <w:r w:rsidRPr="00752594">
              <w:rPr>
                <w:lang w:val="en-GB"/>
              </w:rPr>
              <w:t xml:space="preserve">; </w:t>
            </w:r>
          </w:p>
          <w:p w:rsidR="009D1BA8" w:rsidRPr="00752594" w:rsidRDefault="009D1BA8" w:rsidP="00BB0EEB">
            <w:pPr>
              <w:pStyle w:val="Default"/>
              <w:jc w:val="both"/>
              <w:rPr>
                <w:lang w:val="en-GB"/>
              </w:rPr>
            </w:pPr>
          </w:p>
          <w:p w:rsidR="00C007D4" w:rsidRPr="00752594" w:rsidRDefault="00071F6F" w:rsidP="00BB0EEB">
            <w:pPr>
              <w:pStyle w:val="Default"/>
              <w:jc w:val="both"/>
              <w:rPr>
                <w:b/>
                <w:bCs/>
                <w:lang w:val="en-GB"/>
              </w:rPr>
            </w:pPr>
            <w:r w:rsidRPr="00752594">
              <w:rPr>
                <w:b/>
                <w:bCs/>
                <w:lang w:val="en-GB"/>
              </w:rPr>
              <w:t>(aa) for works relating to the specific objectives referred to in Article 3 (2) (a) (ii),</w:t>
            </w:r>
            <w:r w:rsidR="00C007D4" w:rsidRPr="00752594">
              <w:rPr>
                <w:b/>
                <w:bCs/>
                <w:lang w:val="en-GB"/>
              </w:rPr>
              <w:t xml:space="preserve"> </w:t>
            </w:r>
          </w:p>
          <w:p w:rsidR="00C007D4" w:rsidRPr="00752594" w:rsidRDefault="00C007D4" w:rsidP="00BB0EEB">
            <w:pPr>
              <w:pStyle w:val="Default"/>
              <w:jc w:val="both"/>
              <w:rPr>
                <w:color w:val="0070C0"/>
                <w:lang w:val="en-GB"/>
              </w:rPr>
            </w:pPr>
            <w:r w:rsidRPr="00752594">
              <w:rPr>
                <w:b/>
                <w:bCs/>
                <w:color w:val="0070C0"/>
                <w:lang w:val="en-GB"/>
              </w:rPr>
              <w:sym w:font="Wingdings" w:char="F0E0"/>
            </w:r>
            <w:r w:rsidRPr="00752594">
              <w:rPr>
                <w:color w:val="0070C0"/>
                <w:lang w:val="en-GB"/>
              </w:rPr>
              <w:t xml:space="preserve"> </w:t>
            </w:r>
            <w:r w:rsidRPr="00752594">
              <w:rPr>
                <w:color w:val="0070C0"/>
                <w:lang w:val="en-GB"/>
              </w:rPr>
              <w:t xml:space="preserve">(ii) to </w:t>
            </w:r>
            <w:r w:rsidRPr="00752594">
              <w:rPr>
                <w:b/>
                <w:bCs/>
                <w:i/>
                <w:iCs/>
                <w:color w:val="0070C0"/>
                <w:lang w:val="en-GB"/>
              </w:rPr>
              <w:t xml:space="preserve">adapt parts of the trans-European transport network for </w:t>
            </w:r>
            <w:r w:rsidRPr="00752594">
              <w:rPr>
                <w:b/>
                <w:bCs/>
                <w:color w:val="0070C0"/>
                <w:lang w:val="en-GB"/>
              </w:rPr>
              <w:t xml:space="preserve">a dual use of the transport infrastructure in view of improving both civilian and military </w:t>
            </w:r>
            <w:r w:rsidRPr="00752594">
              <w:rPr>
                <w:b/>
                <w:color w:val="0070C0"/>
                <w:lang w:val="en-GB"/>
              </w:rPr>
              <w:t>mobility;</w:t>
            </w:r>
            <w:r w:rsidRPr="00752594">
              <w:rPr>
                <w:color w:val="0070C0"/>
                <w:lang w:val="en-GB"/>
              </w:rPr>
              <w:t xml:space="preserve"> </w:t>
            </w:r>
          </w:p>
          <w:p w:rsidR="00071F6F" w:rsidRPr="00752594" w:rsidRDefault="00071F6F" w:rsidP="00BB0EEB">
            <w:pPr>
              <w:pStyle w:val="Default"/>
              <w:jc w:val="both"/>
              <w:rPr>
                <w:lang w:val="en-GB"/>
              </w:rPr>
            </w:pPr>
            <w:r w:rsidRPr="00752594">
              <w:rPr>
                <w:b/>
                <w:bCs/>
                <w:lang w:val="en-GB"/>
              </w:rPr>
              <w:t xml:space="preserve">the amount of Union financial assistance shall not exceed 50% of the total eligible cost. The co-financing rates may be increased to a maximum of 85% if the necessary resources are transferred to the Programme pursuant to paragraph 9 of Article 4; </w:t>
            </w:r>
          </w:p>
          <w:p w:rsidR="00071F6F" w:rsidRPr="00752594" w:rsidRDefault="00071F6F" w:rsidP="00BB0EEB">
            <w:pPr>
              <w:pStyle w:val="Default"/>
              <w:jc w:val="both"/>
              <w:rPr>
                <w:color w:val="auto"/>
                <w:lang w:val="en-GB"/>
              </w:rPr>
            </w:pPr>
          </w:p>
          <w:p w:rsidR="00071F6F" w:rsidRPr="00752594" w:rsidRDefault="00071F6F" w:rsidP="00BB0EEB">
            <w:pPr>
              <w:pStyle w:val="Default"/>
              <w:pageBreakBefore/>
              <w:jc w:val="both"/>
              <w:rPr>
                <w:color w:val="auto"/>
                <w:lang w:val="en-GB"/>
              </w:rPr>
            </w:pPr>
            <w:r w:rsidRPr="00752594">
              <w:rPr>
                <w:color w:val="auto"/>
                <w:lang w:val="en-GB"/>
              </w:rPr>
              <w:lastRenderedPageBreak/>
              <w:t xml:space="preserve">(b) as regards the amounts transferred from the Cohesion Fund, the maximum co-financing rates shall be those applicable to the Cohesion Fund as referred to in the Regulation (EU) XXX [CPR]. </w:t>
            </w:r>
            <w:r w:rsidRPr="00752594">
              <w:rPr>
                <w:b/>
                <w:color w:val="0070C0"/>
                <w:lang w:val="en-GB"/>
              </w:rPr>
              <w:t xml:space="preserve">These co-financing rates may be increased to a maximum of 85% for actions relating to cross-border links under the conditions specified in point (c) of this paragraph </w:t>
            </w:r>
            <w:r w:rsidRPr="00752594">
              <w:rPr>
                <w:b/>
                <w:bCs/>
                <w:color w:val="0070C0"/>
                <w:lang w:val="en-GB"/>
              </w:rPr>
              <w:t>and actions relating to missing links</w:t>
            </w:r>
            <w:r w:rsidRPr="00752594">
              <w:rPr>
                <w:b/>
                <w:color w:val="0070C0"/>
                <w:lang w:val="en-GB"/>
              </w:rPr>
              <w:t>;</w:t>
            </w:r>
            <w:r w:rsidRPr="00752594">
              <w:rPr>
                <w:color w:val="0070C0"/>
                <w:lang w:val="en-GB"/>
              </w:rPr>
              <w:t xml:space="preserve"> </w:t>
            </w:r>
          </w:p>
          <w:p w:rsidR="00C007D4" w:rsidRPr="00752594" w:rsidRDefault="00071F6F" w:rsidP="00BB0EEB">
            <w:pPr>
              <w:pStyle w:val="Default"/>
              <w:jc w:val="both"/>
              <w:rPr>
                <w:b/>
                <w:bCs/>
                <w:i/>
                <w:iCs/>
                <w:color w:val="0070C0"/>
                <w:lang w:val="en-GB"/>
              </w:rPr>
            </w:pPr>
            <w:r w:rsidRPr="00752594">
              <w:rPr>
                <w:b/>
                <w:color w:val="0070C0"/>
                <w:lang w:val="en-GB"/>
              </w:rPr>
              <w:t xml:space="preserve">(c) as regards actions relating to cross-border links, the increased maximum co-financing rates as provided for in points (a) and (b) may only apply to actions that demonstrate a high degree of integration in the planning and implementation of the action for the purpose of the award criterion referred to in Article 13(1)(c), </w:t>
            </w:r>
            <w:r w:rsidRPr="00752594">
              <w:rPr>
                <w:b/>
                <w:bCs/>
                <w:color w:val="0070C0"/>
                <w:lang w:val="en-GB"/>
              </w:rPr>
              <w:t xml:space="preserve">for instance </w:t>
            </w:r>
            <w:r w:rsidRPr="00752594">
              <w:rPr>
                <w:b/>
                <w:color w:val="0070C0"/>
                <w:lang w:val="en-GB"/>
              </w:rPr>
              <w:t>through the establishment of a single project company, a joint governance structure</w:t>
            </w:r>
            <w:r w:rsidRPr="00752594">
              <w:rPr>
                <w:b/>
                <w:bCs/>
                <w:color w:val="0070C0"/>
                <w:lang w:val="en-GB"/>
              </w:rPr>
              <w:t xml:space="preserve">, </w:t>
            </w:r>
            <w:r w:rsidRPr="00752594">
              <w:rPr>
                <w:b/>
                <w:color w:val="0070C0"/>
                <w:lang w:val="en-GB"/>
              </w:rPr>
              <w:t xml:space="preserve">a bilateral legal framework or </w:t>
            </w:r>
            <w:r w:rsidRPr="00752594">
              <w:rPr>
                <w:b/>
                <w:bCs/>
                <w:color w:val="0070C0"/>
                <w:lang w:val="en-GB"/>
              </w:rPr>
              <w:t xml:space="preserve">an </w:t>
            </w:r>
            <w:r w:rsidRPr="00752594">
              <w:rPr>
                <w:b/>
                <w:color w:val="0070C0"/>
                <w:lang w:val="en-GB"/>
              </w:rPr>
              <w:t xml:space="preserve">implementing act pursuant to Article 47 of Regulation (EU) No 1315/2013; </w:t>
            </w:r>
            <w:r w:rsidRPr="00752594">
              <w:rPr>
                <w:b/>
                <w:bCs/>
                <w:i/>
                <w:iCs/>
                <w:color w:val="0070C0"/>
                <w:lang w:val="en-GB"/>
              </w:rPr>
              <w:t xml:space="preserve">in addition, the co-financing rate applicable to projects carried out by </w:t>
            </w:r>
            <w:r w:rsidRPr="00752594">
              <w:rPr>
                <w:b/>
                <w:bCs/>
                <w:color w:val="0070C0"/>
                <w:lang w:val="en-GB"/>
              </w:rPr>
              <w:t>integrated management structures</w:t>
            </w:r>
            <w:r w:rsidRPr="00752594">
              <w:rPr>
                <w:b/>
                <w:bCs/>
                <w:i/>
                <w:iCs/>
                <w:color w:val="0070C0"/>
                <w:lang w:val="en-GB"/>
              </w:rPr>
              <w:t>, including joint ventures</w:t>
            </w:r>
            <w:r w:rsidRPr="00752594">
              <w:rPr>
                <w:b/>
                <w:bCs/>
                <w:color w:val="0070C0"/>
                <w:lang w:val="en-GB"/>
              </w:rPr>
              <w:t xml:space="preserve">, </w:t>
            </w:r>
            <w:r w:rsidRPr="00752594">
              <w:rPr>
                <w:b/>
                <w:bCs/>
                <w:i/>
                <w:iCs/>
                <w:color w:val="0070C0"/>
                <w:lang w:val="en-GB"/>
              </w:rPr>
              <w:t xml:space="preserve">in accordance with point (a) of Article 11(2), may be increased by 5%. </w:t>
            </w:r>
          </w:p>
          <w:p w:rsidR="00071F6F" w:rsidRPr="00752594" w:rsidRDefault="009D1BA8" w:rsidP="00BB0EEB">
            <w:pPr>
              <w:pStyle w:val="Default"/>
              <w:jc w:val="both"/>
              <w:rPr>
                <w:b/>
                <w:bCs/>
                <w:i/>
                <w:iCs/>
                <w:color w:val="0070C0"/>
                <w:lang w:val="en-GB"/>
              </w:rPr>
            </w:pPr>
            <w:r w:rsidRPr="00752594">
              <w:rPr>
                <w:b/>
                <w:bCs/>
                <w:i/>
                <w:iCs/>
                <w:color w:val="0070C0"/>
                <w:lang w:val="en-GB"/>
              </w:rPr>
              <w:sym w:font="Wingdings" w:char="F0E0"/>
            </w:r>
            <w:r w:rsidRPr="00752594">
              <w:rPr>
                <w:b/>
                <w:bCs/>
                <w:i/>
                <w:iCs/>
                <w:color w:val="0070C0"/>
                <w:lang w:val="en-GB"/>
              </w:rPr>
              <w:t xml:space="preserve"> </w:t>
            </w:r>
            <w:r w:rsidR="00752594">
              <w:rPr>
                <w:b/>
                <w:bCs/>
                <w:i/>
                <w:iCs/>
                <w:color w:val="0070C0"/>
                <w:lang w:val="en-GB"/>
              </w:rPr>
              <w:t xml:space="preserve">Art. 11(2) </w:t>
            </w:r>
            <w:r w:rsidRPr="00752594">
              <w:rPr>
                <w:b/>
                <w:color w:val="0070C0"/>
                <w:lang w:val="en-GB"/>
              </w:rPr>
              <w:t>(a)</w:t>
            </w:r>
            <w:r w:rsidRPr="00752594">
              <w:rPr>
                <w:b/>
                <w:color w:val="0070C0"/>
                <w:lang w:val="en-GB"/>
              </w:rPr>
              <w:t xml:space="preserve"> legal entities established in a Member State </w:t>
            </w:r>
            <w:r w:rsidRPr="00752594">
              <w:rPr>
                <w:b/>
                <w:bCs/>
                <w:i/>
                <w:iCs/>
                <w:color w:val="0070C0"/>
                <w:lang w:val="en-GB"/>
              </w:rPr>
              <w:t>including joint ventures</w:t>
            </w:r>
            <w:r w:rsidRPr="00752594">
              <w:rPr>
                <w:b/>
                <w:color w:val="0070C0"/>
                <w:lang w:val="en-GB"/>
              </w:rPr>
              <w:t>;</w:t>
            </w:r>
          </w:p>
          <w:p w:rsidR="00BB0EEB" w:rsidRPr="00752594" w:rsidRDefault="00BB0EEB" w:rsidP="00BB0EEB">
            <w:pPr>
              <w:pStyle w:val="Default"/>
              <w:jc w:val="both"/>
              <w:rPr>
                <w:b/>
                <w:color w:val="FF0000"/>
                <w:lang w:val="en-GB"/>
              </w:rPr>
            </w:pPr>
          </w:p>
          <w:p w:rsidR="00071F6F" w:rsidRPr="00752594" w:rsidRDefault="00071F6F" w:rsidP="00BB0EEB">
            <w:pPr>
              <w:pStyle w:val="Default"/>
              <w:jc w:val="both"/>
              <w:rPr>
                <w:color w:val="auto"/>
                <w:lang w:val="en-GB"/>
              </w:rPr>
            </w:pPr>
            <w:r w:rsidRPr="00752594">
              <w:rPr>
                <w:color w:val="auto"/>
                <w:lang w:val="en-GB"/>
              </w:rPr>
              <w:t xml:space="preserve">3. For works in the energy sector, the following maximum co-financing rates shall apply: </w:t>
            </w:r>
          </w:p>
          <w:p w:rsidR="00071F6F" w:rsidRDefault="00071F6F" w:rsidP="00BB0EEB">
            <w:pPr>
              <w:pStyle w:val="Default"/>
              <w:jc w:val="both"/>
              <w:rPr>
                <w:color w:val="auto"/>
                <w:lang w:val="en-GB"/>
              </w:rPr>
            </w:pPr>
            <w:r w:rsidRPr="00752594">
              <w:rPr>
                <w:color w:val="auto"/>
                <w:lang w:val="en-GB"/>
              </w:rPr>
              <w:t xml:space="preserve">(a) for works relating to the specific objectives referred to in Article 3 (2) (b), the amount of Union financial assistance shall not exceed 50 % of the total eligible cost </w:t>
            </w:r>
            <w:r w:rsidRPr="00752594">
              <w:rPr>
                <w:b/>
                <w:bCs/>
                <w:i/>
                <w:iCs/>
                <w:color w:val="auto"/>
                <w:lang w:val="en-GB"/>
              </w:rPr>
              <w:t>for works in outermost regions the co-financing rates shall be to a maximum of 70%</w:t>
            </w:r>
            <w:r w:rsidRPr="00752594">
              <w:rPr>
                <w:color w:val="auto"/>
                <w:lang w:val="en-GB"/>
              </w:rPr>
              <w:t xml:space="preserve">; </w:t>
            </w:r>
          </w:p>
          <w:p w:rsidR="00752594" w:rsidRPr="00752594" w:rsidRDefault="00752594" w:rsidP="00BB0EEB">
            <w:pPr>
              <w:pStyle w:val="Default"/>
              <w:jc w:val="both"/>
              <w:rPr>
                <w:color w:val="auto"/>
                <w:lang w:val="en-GB"/>
              </w:rPr>
            </w:pPr>
          </w:p>
          <w:p w:rsidR="00071F6F" w:rsidRPr="00752594" w:rsidRDefault="00071F6F" w:rsidP="00BB0EEB">
            <w:pPr>
              <w:pStyle w:val="Default"/>
              <w:jc w:val="both"/>
              <w:rPr>
                <w:color w:val="auto"/>
                <w:lang w:val="en-GB"/>
              </w:rPr>
            </w:pPr>
            <w:r w:rsidRPr="00752594">
              <w:rPr>
                <w:color w:val="auto"/>
                <w:lang w:val="en-GB"/>
              </w:rPr>
              <w:t xml:space="preserve">(b) The co-financing rates may be increased to a maximum of 75 % for actions contributing to the development of projects of common interest which, based on the evidence referred to in Article 14(2) of Regulation (EU) No 347/2013, provide a high degree of regional or Union-wide security of supply, strengthen the solidarity of the Union or comprise highly innovative solutions. </w:t>
            </w:r>
          </w:p>
          <w:p w:rsidR="00071F6F" w:rsidRDefault="00071F6F" w:rsidP="00BB0EEB">
            <w:pPr>
              <w:pStyle w:val="Default"/>
              <w:jc w:val="both"/>
              <w:rPr>
                <w:color w:val="auto"/>
                <w:lang w:val="en-GB"/>
              </w:rPr>
            </w:pPr>
          </w:p>
          <w:p w:rsidR="00071F6F" w:rsidRPr="00752594" w:rsidRDefault="00071F6F" w:rsidP="00BB0EEB">
            <w:pPr>
              <w:pStyle w:val="Default"/>
              <w:pageBreakBefore/>
              <w:jc w:val="both"/>
              <w:rPr>
                <w:color w:val="auto"/>
                <w:lang w:val="en-GB"/>
              </w:rPr>
            </w:pPr>
            <w:r w:rsidRPr="00752594">
              <w:rPr>
                <w:color w:val="auto"/>
                <w:lang w:val="en-GB"/>
              </w:rPr>
              <w:t xml:space="preserve">4. For works in the digital sector, the following maximum co-financing rates shall apply: for </w:t>
            </w:r>
            <w:r w:rsidRPr="00752594">
              <w:rPr>
                <w:color w:val="auto"/>
                <w:lang w:val="en-GB"/>
              </w:rPr>
              <w:lastRenderedPageBreak/>
              <w:t xml:space="preserve">works relating to the specific objectives referred to in Article 3 (2) (c), the amount of Union financial assistance shall not exceed 30% of the total eligible cost. </w:t>
            </w:r>
            <w:r w:rsidRPr="00752594">
              <w:rPr>
                <w:b/>
                <w:bCs/>
                <w:i/>
                <w:iCs/>
                <w:color w:val="auto"/>
                <w:lang w:val="en-GB"/>
              </w:rPr>
              <w:t xml:space="preserve">For works in outermost regions the co-financing rates shall be set to a maximum of 70%. </w:t>
            </w:r>
            <w:r w:rsidRPr="00752594">
              <w:rPr>
                <w:color w:val="auto"/>
                <w:lang w:val="en-GB"/>
              </w:rPr>
              <w:t>The co-financing rates may be increased up to 50% for actions with a strong cross-border dimension, such as uninterrupted coverage with 5G systems along major transport paths or deployment of backbone networks between Member States and between the Union and third countries, and up to 75% for actions implementing the Gigabit connectivity of socio-economic drivers. Actions in the field of providing local wireless connectivity in local communities</w:t>
            </w:r>
            <w:r w:rsidRPr="00752594">
              <w:rPr>
                <w:b/>
                <w:bCs/>
                <w:color w:val="auto"/>
                <w:lang w:val="en-GB"/>
              </w:rPr>
              <w:t xml:space="preserve">, when implemented via low value grants may </w:t>
            </w:r>
            <w:r w:rsidRPr="00752594">
              <w:rPr>
                <w:color w:val="auto"/>
                <w:lang w:val="en-GB"/>
              </w:rPr>
              <w:t xml:space="preserve">be </w:t>
            </w:r>
            <w:r w:rsidRPr="00752594">
              <w:rPr>
                <w:b/>
                <w:bCs/>
                <w:color w:val="auto"/>
                <w:lang w:val="en-GB"/>
              </w:rPr>
              <w:t xml:space="preserve">funded </w:t>
            </w:r>
            <w:r w:rsidRPr="00752594">
              <w:rPr>
                <w:color w:val="auto"/>
                <w:lang w:val="en-GB"/>
              </w:rPr>
              <w:t xml:space="preserve">by Union financial assistance covering up to 100 % of the eligible costs, without prejudice to the principle of co-financing. </w:t>
            </w:r>
          </w:p>
          <w:p w:rsidR="00071F6F" w:rsidRPr="00752594" w:rsidRDefault="00071F6F" w:rsidP="00BB0EEB">
            <w:pPr>
              <w:jc w:val="both"/>
              <w:rPr>
                <w:rFonts w:ascii="Times New Roman"/>
                <w:sz w:val="24"/>
                <w:szCs w:val="24"/>
                <w:lang w:val="en-GB"/>
              </w:rPr>
            </w:pPr>
            <w:r w:rsidRPr="00752594">
              <w:rPr>
                <w:rFonts w:ascii="Times New Roman"/>
                <w:sz w:val="24"/>
                <w:szCs w:val="24"/>
                <w:lang w:val="en-GB"/>
              </w:rPr>
              <w:t xml:space="preserve">5. The maximum co-funding rate applicable to actions referred to in Article 10 </w:t>
            </w:r>
            <w:r w:rsidRPr="00752594">
              <w:rPr>
                <w:rFonts w:ascii="Times New Roman"/>
                <w:b/>
                <w:bCs/>
                <w:sz w:val="24"/>
                <w:szCs w:val="24"/>
                <w:lang w:val="en-GB"/>
              </w:rPr>
              <w:t xml:space="preserve">(1) </w:t>
            </w:r>
            <w:r w:rsidRPr="00752594">
              <w:rPr>
                <w:rFonts w:ascii="Times New Roman"/>
                <w:sz w:val="24"/>
                <w:szCs w:val="24"/>
                <w:lang w:val="en-GB"/>
              </w:rPr>
              <w:t xml:space="preserve">shall be the highest maximum co-funding rate applicable to the sectors concerned. </w:t>
            </w:r>
            <w:r w:rsidRPr="00752594">
              <w:rPr>
                <w:rFonts w:ascii="Times New Roman"/>
                <w:b/>
                <w:bCs/>
                <w:i/>
                <w:iCs/>
                <w:sz w:val="24"/>
                <w:szCs w:val="24"/>
                <w:lang w:val="en-GB"/>
              </w:rPr>
              <w:t>In addition, the co-financing rate applicable to these actions may be increased by 10%.</w:t>
            </w:r>
          </w:p>
        </w:tc>
        <w:tc>
          <w:tcPr>
            <w:tcW w:w="4814" w:type="dxa"/>
          </w:tcPr>
          <w:p w:rsidR="00D86836" w:rsidRPr="00752594" w:rsidRDefault="00D86836" w:rsidP="00BB0EEB">
            <w:pPr>
              <w:pStyle w:val="Default"/>
              <w:jc w:val="both"/>
              <w:rPr>
                <w:b/>
                <w:lang w:val="it-IT"/>
              </w:rPr>
            </w:pPr>
            <w:r w:rsidRPr="00752594">
              <w:rPr>
                <w:b/>
                <w:i/>
                <w:iCs/>
                <w:lang w:val="it-IT"/>
              </w:rPr>
              <w:lastRenderedPageBreak/>
              <w:t xml:space="preserve">Articolo 14 Tassi di cofinanziamento </w:t>
            </w:r>
          </w:p>
          <w:p w:rsidR="00D86836" w:rsidRPr="00752594" w:rsidRDefault="00D86836" w:rsidP="00BB0EEB">
            <w:pPr>
              <w:pStyle w:val="Default"/>
              <w:jc w:val="both"/>
              <w:rPr>
                <w:lang w:val="it-IT"/>
              </w:rPr>
            </w:pPr>
            <w:r w:rsidRPr="00752594">
              <w:rPr>
                <w:lang w:val="it-IT"/>
              </w:rPr>
              <w:t xml:space="preserve">1. Per quanto riguarda gli studi, l'importo dell'assistenza finanziaria dell'Unione non può superare il 50% del costo ammissibile totale. Per gli studi finanziati con gli importi trasferiti dal Fondo di coesione, i tassi massimi di cofinanziamento sono quelli applicabili al Fondo di coesione, come specificato al paragrafo 2, lettera b). </w:t>
            </w:r>
          </w:p>
          <w:p w:rsidR="00D86836" w:rsidRPr="00752594" w:rsidRDefault="00D86836" w:rsidP="00BB0EEB">
            <w:pPr>
              <w:pStyle w:val="Default"/>
              <w:jc w:val="both"/>
              <w:rPr>
                <w:lang w:val="it-IT"/>
              </w:rPr>
            </w:pPr>
            <w:r w:rsidRPr="00752594">
              <w:rPr>
                <w:lang w:val="it-IT"/>
              </w:rPr>
              <w:t xml:space="preserve">2. Per i lavori nel settore dei trasporti si applicano i seguenti tassi massimi di cofinanziamento: </w:t>
            </w:r>
          </w:p>
          <w:p w:rsidR="00BB0EEB" w:rsidRPr="00752594" w:rsidRDefault="00BB0EEB" w:rsidP="00BB0EEB">
            <w:pPr>
              <w:pStyle w:val="Default"/>
              <w:jc w:val="both"/>
              <w:rPr>
                <w:lang w:val="it-IT"/>
              </w:rPr>
            </w:pPr>
          </w:p>
          <w:p w:rsidR="00BB0EEB" w:rsidRPr="00752594" w:rsidRDefault="00D86836" w:rsidP="00BB0EEB">
            <w:pPr>
              <w:pStyle w:val="Default"/>
              <w:spacing w:after="147"/>
              <w:jc w:val="both"/>
              <w:rPr>
                <w:color w:val="auto"/>
                <w:lang w:val="it-IT"/>
              </w:rPr>
            </w:pPr>
            <w:r w:rsidRPr="00752594">
              <w:rPr>
                <w:color w:val="auto"/>
                <w:lang w:val="it-IT"/>
              </w:rPr>
              <w:t>(a) per quanto concerne i lavori relativi agli obiettivi specifici di cui all'articolo 3, paragrafo 2, lettera a), l'importo dell'assistenza finanziaria dell'Unione non può superare il 30% del costo ammissibile totale.</w:t>
            </w:r>
          </w:p>
          <w:p w:rsidR="00D86836" w:rsidRPr="00752594" w:rsidRDefault="00D86836" w:rsidP="00BB0EEB">
            <w:pPr>
              <w:pStyle w:val="Default"/>
              <w:spacing w:after="147"/>
              <w:jc w:val="both"/>
              <w:rPr>
                <w:color w:val="auto"/>
                <w:lang w:val="it-IT"/>
              </w:rPr>
            </w:pPr>
            <w:r w:rsidRPr="00752594">
              <w:rPr>
                <w:color w:val="auto"/>
                <w:lang w:val="it-IT"/>
              </w:rPr>
              <w:t xml:space="preserve"> I tassi di cofinanziamento possono aumentare fino a un massimo del 50% per azioni relative a collegamenti transfrontalieri alle condizioni di cui alla lettera c) del presente paragrafo, per azioni di sostegno a sistemi di applicazioni telematiche, per azioni di sostegno a nuove tecnologie e all'innovazione e per azioni di sostegno all'incremento della sicurezza delle infrastrutture in linea con la normativa pertinente dell'Unione, nonché per azioni in regioni </w:t>
            </w:r>
            <w:proofErr w:type="spellStart"/>
            <w:r w:rsidRPr="00752594">
              <w:rPr>
                <w:color w:val="auto"/>
                <w:lang w:val="it-IT"/>
              </w:rPr>
              <w:t>ultraperiferiche</w:t>
            </w:r>
            <w:proofErr w:type="spellEnd"/>
            <w:r w:rsidRPr="00752594">
              <w:rPr>
                <w:color w:val="auto"/>
                <w:lang w:val="it-IT"/>
              </w:rPr>
              <w:t xml:space="preserve">; </w:t>
            </w:r>
          </w:p>
          <w:p w:rsidR="00BB0EEB" w:rsidRPr="00752594" w:rsidRDefault="00BB0EEB" w:rsidP="00BB0EEB">
            <w:pPr>
              <w:pStyle w:val="Default"/>
              <w:spacing w:after="147"/>
              <w:jc w:val="both"/>
              <w:rPr>
                <w:color w:val="auto"/>
                <w:lang w:val="it-IT"/>
              </w:rPr>
            </w:pPr>
          </w:p>
          <w:p w:rsidR="00BB0EEB" w:rsidRPr="00752594" w:rsidRDefault="00BB0EEB" w:rsidP="00BB0EEB">
            <w:pPr>
              <w:pStyle w:val="Default"/>
              <w:spacing w:after="147"/>
              <w:jc w:val="both"/>
              <w:rPr>
                <w:color w:val="auto"/>
                <w:lang w:val="it-IT"/>
              </w:rPr>
            </w:pPr>
          </w:p>
          <w:p w:rsidR="00BB0EEB" w:rsidRPr="00752594" w:rsidRDefault="00BB0EEB" w:rsidP="00BB0EEB">
            <w:pPr>
              <w:pStyle w:val="Default"/>
              <w:spacing w:after="147"/>
              <w:jc w:val="both"/>
              <w:rPr>
                <w:color w:val="auto"/>
                <w:lang w:val="it-IT"/>
              </w:rPr>
            </w:pPr>
          </w:p>
          <w:p w:rsidR="00BB0EEB" w:rsidRPr="00752594" w:rsidRDefault="00BB0EEB" w:rsidP="00BB0EEB">
            <w:pPr>
              <w:pStyle w:val="Default"/>
              <w:spacing w:after="147"/>
              <w:jc w:val="both"/>
              <w:rPr>
                <w:color w:val="auto"/>
                <w:lang w:val="it-IT"/>
              </w:rPr>
            </w:pPr>
          </w:p>
          <w:p w:rsidR="00BB0EEB" w:rsidRPr="00752594" w:rsidRDefault="00BB0EEB" w:rsidP="00BB0EEB">
            <w:pPr>
              <w:pStyle w:val="Default"/>
              <w:spacing w:after="147"/>
              <w:jc w:val="both"/>
              <w:rPr>
                <w:color w:val="auto"/>
                <w:lang w:val="it-IT"/>
              </w:rPr>
            </w:pPr>
          </w:p>
          <w:p w:rsidR="00BB0EEB" w:rsidRPr="00752594" w:rsidRDefault="00BB0EEB" w:rsidP="00BB0EEB">
            <w:pPr>
              <w:pStyle w:val="Default"/>
              <w:spacing w:after="147"/>
              <w:jc w:val="both"/>
              <w:rPr>
                <w:color w:val="auto"/>
                <w:lang w:val="it-IT"/>
              </w:rPr>
            </w:pPr>
          </w:p>
          <w:p w:rsidR="00BB0EEB" w:rsidRPr="00752594" w:rsidRDefault="00BB0EEB" w:rsidP="00BB0EEB">
            <w:pPr>
              <w:pStyle w:val="Default"/>
              <w:spacing w:after="147"/>
              <w:jc w:val="both"/>
              <w:rPr>
                <w:color w:val="auto"/>
                <w:lang w:val="it-IT"/>
              </w:rPr>
            </w:pPr>
          </w:p>
          <w:p w:rsidR="00BB0EEB" w:rsidRPr="00752594" w:rsidRDefault="00BB0EEB" w:rsidP="00BB0EEB">
            <w:pPr>
              <w:pStyle w:val="Default"/>
              <w:spacing w:after="147"/>
              <w:jc w:val="both"/>
              <w:rPr>
                <w:color w:val="auto"/>
                <w:lang w:val="it-IT"/>
              </w:rPr>
            </w:pPr>
          </w:p>
          <w:p w:rsidR="00BB0EEB" w:rsidRPr="00752594" w:rsidRDefault="00BB0EEB" w:rsidP="00BB0EEB">
            <w:pPr>
              <w:pStyle w:val="Default"/>
              <w:spacing w:after="147"/>
              <w:jc w:val="both"/>
              <w:rPr>
                <w:color w:val="auto"/>
                <w:lang w:val="it-IT"/>
              </w:rPr>
            </w:pPr>
          </w:p>
          <w:p w:rsidR="009D1BA8" w:rsidRPr="00752594" w:rsidRDefault="009D1BA8" w:rsidP="00BB0EEB">
            <w:pPr>
              <w:pStyle w:val="Default"/>
              <w:spacing w:after="147"/>
              <w:jc w:val="both"/>
              <w:rPr>
                <w:color w:val="auto"/>
                <w:lang w:val="it-IT"/>
              </w:rPr>
            </w:pPr>
          </w:p>
          <w:p w:rsidR="00C007D4" w:rsidRPr="00752594" w:rsidRDefault="00C007D4" w:rsidP="00BB0EEB">
            <w:pPr>
              <w:pStyle w:val="Default"/>
              <w:spacing w:after="147"/>
              <w:jc w:val="both"/>
              <w:rPr>
                <w:color w:val="auto"/>
                <w:lang w:val="it-IT"/>
              </w:rPr>
            </w:pPr>
          </w:p>
          <w:p w:rsidR="00C007D4" w:rsidRPr="00752594" w:rsidRDefault="00C007D4" w:rsidP="00BB0EEB">
            <w:pPr>
              <w:pStyle w:val="Default"/>
              <w:spacing w:after="147"/>
              <w:jc w:val="both"/>
              <w:rPr>
                <w:color w:val="auto"/>
                <w:lang w:val="it-IT"/>
              </w:rPr>
            </w:pPr>
          </w:p>
          <w:p w:rsidR="00C007D4" w:rsidRPr="00752594" w:rsidRDefault="00C007D4" w:rsidP="00BB0EEB">
            <w:pPr>
              <w:pStyle w:val="Default"/>
              <w:spacing w:after="147"/>
              <w:jc w:val="both"/>
              <w:rPr>
                <w:color w:val="auto"/>
                <w:lang w:val="it-IT"/>
              </w:rPr>
            </w:pPr>
          </w:p>
          <w:p w:rsidR="00D86836" w:rsidRDefault="00D86836" w:rsidP="00BB0EEB">
            <w:pPr>
              <w:pStyle w:val="Default"/>
              <w:spacing w:after="147"/>
              <w:jc w:val="both"/>
              <w:rPr>
                <w:color w:val="auto"/>
                <w:lang w:val="it-IT"/>
              </w:rPr>
            </w:pPr>
            <w:r w:rsidRPr="00752594">
              <w:rPr>
                <w:color w:val="auto"/>
                <w:lang w:val="it-IT"/>
              </w:rPr>
              <w:t xml:space="preserve">(b) riguardo agli importi trasferiti dal Fondo di coesione, i tassi massimi di cofinanziamento sono quelli applicabili al Fondo di coesione, di cui al regolamento (UE) XXX [CPR]. Tali tassi di cofinanziamento possono aumentare fino a un massimo dell'85% per azioni relative a collegamenti transfrontalieri alle condizioni di cui alla lettera c) del presente paragrafo; </w:t>
            </w:r>
          </w:p>
          <w:p w:rsidR="00752594" w:rsidRPr="00752594" w:rsidRDefault="00752594" w:rsidP="00BB0EEB">
            <w:pPr>
              <w:pStyle w:val="Default"/>
              <w:spacing w:after="147"/>
              <w:jc w:val="both"/>
              <w:rPr>
                <w:color w:val="auto"/>
                <w:lang w:val="it-IT"/>
              </w:rPr>
            </w:pPr>
          </w:p>
          <w:p w:rsidR="00D86836" w:rsidRPr="00752594" w:rsidRDefault="00D86836" w:rsidP="00BB0EEB">
            <w:pPr>
              <w:pStyle w:val="Default"/>
              <w:jc w:val="both"/>
              <w:rPr>
                <w:color w:val="auto"/>
                <w:lang w:val="it-IT"/>
              </w:rPr>
            </w:pPr>
            <w:r w:rsidRPr="00752594">
              <w:rPr>
                <w:color w:val="auto"/>
                <w:lang w:val="it-IT"/>
              </w:rPr>
              <w:t xml:space="preserve">(c) per quanto riguarda le azioni relative a collegamenti transfrontalieri, l'aumento dei tassi massimi di cofinanziamento previsti dalle lettere a) e b) è applicabile esclusivamente ad azioni che dimostrino un grado particolarmente elevato di integrazione nella loro pianificazione e attuazione ai fini dei criteri di attribuzione di cui all'articolo 13, paragrafo 1, lettera c), in particolare con un'unica società che realizzi il progetto, una struttura di governance comune e un quadro giuridico bilaterale o un atto di esecuzione a norma dell'articolo 47 del regolamento (UE) n. 1315/2013. </w:t>
            </w:r>
          </w:p>
          <w:p w:rsidR="00BB0EEB" w:rsidRPr="00752594" w:rsidRDefault="00BB0EEB" w:rsidP="00BB0EEB">
            <w:pPr>
              <w:pStyle w:val="Default"/>
              <w:jc w:val="both"/>
              <w:rPr>
                <w:color w:val="auto"/>
                <w:lang w:val="it-IT"/>
              </w:rPr>
            </w:pPr>
          </w:p>
          <w:p w:rsidR="00BB0EEB" w:rsidRPr="00752594" w:rsidRDefault="00BB0EEB" w:rsidP="00BB0EEB">
            <w:pPr>
              <w:pStyle w:val="Default"/>
              <w:jc w:val="both"/>
              <w:rPr>
                <w:color w:val="auto"/>
                <w:lang w:val="it-IT"/>
              </w:rPr>
            </w:pPr>
          </w:p>
          <w:p w:rsidR="00BB0EEB" w:rsidRPr="00752594" w:rsidRDefault="00BB0EEB" w:rsidP="00BB0EEB">
            <w:pPr>
              <w:pStyle w:val="Default"/>
              <w:jc w:val="both"/>
              <w:rPr>
                <w:color w:val="auto"/>
                <w:lang w:val="it-IT"/>
              </w:rPr>
            </w:pPr>
          </w:p>
          <w:p w:rsidR="00BB0EEB" w:rsidRPr="00752594" w:rsidRDefault="00BB0EEB" w:rsidP="00BB0EEB">
            <w:pPr>
              <w:pStyle w:val="Default"/>
              <w:jc w:val="both"/>
              <w:rPr>
                <w:color w:val="auto"/>
                <w:lang w:val="it-IT"/>
              </w:rPr>
            </w:pPr>
          </w:p>
          <w:p w:rsidR="00D86836" w:rsidRDefault="00D86836" w:rsidP="00BB0EEB">
            <w:pPr>
              <w:pStyle w:val="Default"/>
              <w:jc w:val="both"/>
              <w:rPr>
                <w:color w:val="auto"/>
                <w:lang w:val="it-IT"/>
              </w:rPr>
            </w:pPr>
          </w:p>
          <w:p w:rsidR="00752594" w:rsidRDefault="00752594" w:rsidP="00BB0EEB">
            <w:pPr>
              <w:pStyle w:val="Default"/>
              <w:jc w:val="both"/>
              <w:rPr>
                <w:color w:val="auto"/>
                <w:lang w:val="it-IT"/>
              </w:rPr>
            </w:pPr>
          </w:p>
          <w:p w:rsidR="00752594" w:rsidRPr="00752594" w:rsidRDefault="00752594" w:rsidP="00BB0EEB">
            <w:pPr>
              <w:pStyle w:val="Default"/>
              <w:jc w:val="both"/>
              <w:rPr>
                <w:color w:val="auto"/>
                <w:lang w:val="it-IT"/>
              </w:rPr>
            </w:pPr>
          </w:p>
          <w:p w:rsidR="00D86836" w:rsidRPr="00752594" w:rsidRDefault="00D86836" w:rsidP="00BB0EEB">
            <w:pPr>
              <w:pStyle w:val="Default"/>
              <w:jc w:val="both"/>
              <w:rPr>
                <w:color w:val="auto"/>
                <w:lang w:val="it-IT"/>
              </w:rPr>
            </w:pPr>
            <w:r w:rsidRPr="00752594">
              <w:rPr>
                <w:color w:val="auto"/>
                <w:lang w:val="it-IT"/>
              </w:rPr>
              <w:t xml:space="preserve">3. Per i lavori nel settore dell'energia si applicano i seguenti tassi massimi di cofinanziamento: </w:t>
            </w:r>
          </w:p>
          <w:p w:rsidR="00D86836" w:rsidRPr="00752594" w:rsidRDefault="00D86836" w:rsidP="00BB0EEB">
            <w:pPr>
              <w:pStyle w:val="Default"/>
              <w:spacing w:after="147"/>
              <w:jc w:val="both"/>
              <w:rPr>
                <w:color w:val="auto"/>
                <w:lang w:val="it-IT"/>
              </w:rPr>
            </w:pPr>
            <w:r w:rsidRPr="00752594">
              <w:rPr>
                <w:color w:val="auto"/>
                <w:lang w:val="it-IT"/>
              </w:rPr>
              <w:t xml:space="preserve">(a) per quanto concerne i lavori relativi agli obiettivi specifici di cui all'articolo 3, paragrafo 2, lettera b), l'importo dell'assistenza finanziaria dell'Unione non può superare il 50% del costo ammissibile totale; </w:t>
            </w:r>
          </w:p>
          <w:p w:rsidR="00D86836" w:rsidRPr="00752594" w:rsidRDefault="00D86836" w:rsidP="00BB0EEB">
            <w:pPr>
              <w:pStyle w:val="Default"/>
              <w:jc w:val="both"/>
              <w:rPr>
                <w:color w:val="auto"/>
                <w:lang w:val="it-IT"/>
              </w:rPr>
            </w:pPr>
            <w:r w:rsidRPr="00752594">
              <w:rPr>
                <w:color w:val="auto"/>
                <w:lang w:val="it-IT"/>
              </w:rPr>
              <w:t xml:space="preserve">(b) i tassi di cofinanziamento possono aumentare fino a un massimo del 75% per le azioni che contribuiscono allo sviluppo di progetti di interesse comune, in base ai criteri di cui all'articolo 14, paragrafo 2, del regolamento (UE) n. 347/2013, e garantiscono un grado elevato di sicurezza dell'approvvigionamento a livello regionale o di Unione, ovvero rafforzano la solidarietà dell'Unione o prevedono soluzioni molto innovative. </w:t>
            </w:r>
          </w:p>
          <w:p w:rsidR="00D86836" w:rsidRPr="00752594" w:rsidRDefault="00D86836" w:rsidP="00BB0EEB">
            <w:pPr>
              <w:pStyle w:val="Default"/>
              <w:jc w:val="both"/>
              <w:rPr>
                <w:color w:val="auto"/>
                <w:lang w:val="it-IT"/>
              </w:rPr>
            </w:pPr>
          </w:p>
          <w:p w:rsidR="00D86836" w:rsidRPr="00752594" w:rsidRDefault="00D86836" w:rsidP="00BB0EEB">
            <w:pPr>
              <w:pStyle w:val="Default"/>
              <w:jc w:val="both"/>
              <w:rPr>
                <w:color w:val="auto"/>
                <w:lang w:val="it-IT"/>
              </w:rPr>
            </w:pPr>
            <w:r w:rsidRPr="00752594">
              <w:rPr>
                <w:color w:val="auto"/>
                <w:lang w:val="it-IT"/>
              </w:rPr>
              <w:lastRenderedPageBreak/>
              <w:t xml:space="preserve">4. Per i lavori nel settore digitale si applicano i seguenti tassi massimi di cofinanziamento: per quanto concerne i lavori relativi agli obiettivi specifici di cui all'articolo 3, paragrafo 2, lettera c), l'importo dell'assistenza finanziaria dell'Unione non può superare il 30% del costo ammissibile totale. I tassi di cofinanziamento possono aumentare fino al 50% per azioni con una forte dimensione transfrontaliera, quali la copertura ininterrotta con sistemi 5G lungo i principali assi di trasporto o la realizzazione di reti dorsali tra Stati membri e tra l'Unione e paesi terzi, e fino al 75% per azioni per la realizzazione della connettività Gigabit dei volani socioeconomici. Le azioni riguardanti la fornitura di connettività locale senza fili nelle comunità locali sono finanziate attraverso l'assistenza finanziaria dell'Unione fino al 100% dei costi ammissibili, fatto salvo il principio di cofinanziamento. </w:t>
            </w:r>
          </w:p>
          <w:p w:rsidR="00071F6F" w:rsidRPr="00752594" w:rsidRDefault="00D86836" w:rsidP="00BB0EEB">
            <w:pPr>
              <w:jc w:val="both"/>
              <w:rPr>
                <w:rFonts w:ascii="Times New Roman"/>
                <w:sz w:val="24"/>
                <w:szCs w:val="24"/>
                <w:lang w:val="it-IT"/>
              </w:rPr>
            </w:pPr>
            <w:r w:rsidRPr="00752594">
              <w:rPr>
                <w:rFonts w:ascii="Times New Roman"/>
                <w:sz w:val="24"/>
                <w:szCs w:val="24"/>
                <w:lang w:val="it-IT"/>
              </w:rPr>
              <w:t>5. Il tasso massimo di cofinanziamento applicabile ad azioni selezionate nell'ambito di programmi di lavoro transettoriali di cui all'articolo 10 è il tasso massimo di cofinanziamento più elevato applicabile ai settori interessati.</w:t>
            </w:r>
          </w:p>
        </w:tc>
      </w:tr>
    </w:tbl>
    <w:p w:rsidR="002956FA" w:rsidRPr="00D86836" w:rsidRDefault="002956FA">
      <w:pPr>
        <w:rPr>
          <w:lang w:val="it-IT"/>
        </w:rPr>
      </w:pPr>
    </w:p>
    <w:sectPr w:rsidR="002956FA" w:rsidRPr="00D86836" w:rsidSect="00C773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C3A2E"/>
    <w:multiLevelType w:val="hybridMultilevel"/>
    <w:tmpl w:val="83DE74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6F"/>
    <w:rsid w:val="00071F6F"/>
    <w:rsid w:val="0010231E"/>
    <w:rsid w:val="002049CD"/>
    <w:rsid w:val="002739B9"/>
    <w:rsid w:val="002956FA"/>
    <w:rsid w:val="004B5EF1"/>
    <w:rsid w:val="004D5BFF"/>
    <w:rsid w:val="00681597"/>
    <w:rsid w:val="00752594"/>
    <w:rsid w:val="008F2EC0"/>
    <w:rsid w:val="009D1BA8"/>
    <w:rsid w:val="00A10D30"/>
    <w:rsid w:val="00BB0EEB"/>
    <w:rsid w:val="00C007D4"/>
    <w:rsid w:val="00C77338"/>
    <w:rsid w:val="00D86836"/>
  </w:rsids>
  <m:mathPr>
    <m:mathFont m:val="Cambria Math"/>
    <m:brkBin m:val="before"/>
    <m:brkBinSub m:val="--"/>
    <m:smallFrac m:val="0"/>
    <m:dispDef/>
    <m:lMargin m:val="0"/>
    <m:rMargin m:val="0"/>
    <m:defJc m:val="centerGroup"/>
    <m:wrapIndent m:val="1440"/>
    <m:intLim m:val="subSup"/>
    <m:naryLim m:val="undOvr"/>
  </m:mathPr>
  <w:themeFontLang w:val="it-IT"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51F8"/>
  <w15:chartTrackingRefBased/>
  <w15:docId w15:val="{EC9B080D-5E17-4217-912A-65D7BA00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71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1F6F"/>
    <w:pPr>
      <w:autoSpaceDE w:val="0"/>
      <w:autoSpaceDN w:val="0"/>
      <w:adjustRightInd w:val="0"/>
      <w:spacing w:after="0" w:line="240" w:lineRule="auto"/>
    </w:pPr>
    <w:rPr>
      <w:rFonts w:ascii="Times New Roman"/>
      <w:color w:val="000000"/>
      <w:sz w:val="24"/>
      <w:szCs w:val="24"/>
    </w:rPr>
  </w:style>
  <w:style w:type="character" w:styleId="Collegamentoipertestuale">
    <w:name w:val="Hyperlink"/>
    <w:basedOn w:val="Carpredefinitoparagrafo"/>
    <w:uiPriority w:val="99"/>
    <w:unhideWhenUsed/>
    <w:rsid w:val="004D5BFF"/>
    <w:rPr>
      <w:color w:val="0000FF"/>
      <w:u w:val="single"/>
    </w:rPr>
  </w:style>
  <w:style w:type="character" w:styleId="Menzionenonrisolta">
    <w:name w:val="Unresolved Mention"/>
    <w:basedOn w:val="Carpredefinitoparagrafo"/>
    <w:uiPriority w:val="99"/>
    <w:semiHidden/>
    <w:unhideWhenUsed/>
    <w:rsid w:val="0027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resource.html?uri=cellar:da5da09e-6a5a-11e8-9483-01aa75ed71a1.0023.02/DOC_1&amp;format=PDF" TargetMode="External"/><Relationship Id="rId5" Type="http://schemas.openxmlformats.org/officeDocument/2006/relationships/hyperlink" Target="http://www.presidioeuropa.net/blog/wp-content/uploads/2015/08/General-Secretariat-of-the-Council-Progress-report-Regolamento-CEF-14-marzo-2019-CONSIL_ST_7207_2019_REV_1_EN_TXT.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1483</Words>
  <Characters>8158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click@mayombe.eu</dc:creator>
  <cp:keywords/>
  <dc:description/>
  <cp:lastModifiedBy>click@mayombe.eu</cp:lastModifiedBy>
  <cp:revision>2</cp:revision>
  <dcterms:created xsi:type="dcterms:W3CDTF">2019-03-28T15:50:00Z</dcterms:created>
  <dcterms:modified xsi:type="dcterms:W3CDTF">2019-03-28T15:50:00Z</dcterms:modified>
</cp:coreProperties>
</file>