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2337" w14:textId="4D1D12B8" w:rsidR="00A96AA9" w:rsidRPr="00A96AA9" w:rsidRDefault="00A96AA9" w:rsidP="002223E3">
      <w:pPr>
        <w:pStyle w:val="CM4"/>
        <w:spacing w:after="60"/>
        <w:jc w:val="center"/>
        <w:rPr>
          <w:rFonts w:cs="EUAlbertina"/>
          <w:b/>
          <w:bCs/>
          <w:color w:val="000000"/>
          <w:sz w:val="19"/>
          <w:szCs w:val="19"/>
          <w:lang w:val="it-IT"/>
        </w:rPr>
      </w:pPr>
      <w:r w:rsidRPr="00A96AA9">
        <w:rPr>
          <w:rFonts w:cs="EUAlbertina"/>
          <w:b/>
          <w:bCs/>
          <w:color w:val="000000"/>
          <w:sz w:val="19"/>
          <w:szCs w:val="19"/>
          <w:lang w:val="it-IT"/>
        </w:rPr>
        <w:t>REGOLAMENTO (UE) N. 1315/2013 DEL PARLAMENTO EUROPEO E DEL CONSIGLIO</w:t>
      </w:r>
      <w:r w:rsidR="00BD2E38">
        <w:rPr>
          <w:rFonts w:cs="EUAlbertina"/>
          <w:b/>
          <w:bCs/>
          <w:color w:val="000000"/>
          <w:sz w:val="19"/>
          <w:szCs w:val="19"/>
          <w:lang w:val="it-IT"/>
        </w:rPr>
        <w:t xml:space="preserve"> </w:t>
      </w:r>
      <w:r w:rsidRPr="00A96AA9">
        <w:rPr>
          <w:rFonts w:cs="EUAlbertina"/>
          <w:b/>
          <w:bCs/>
          <w:color w:val="000000"/>
          <w:sz w:val="19"/>
          <w:szCs w:val="19"/>
          <w:lang w:val="it-IT"/>
        </w:rPr>
        <w:t>dell'11 dicembre 2013</w:t>
      </w:r>
    </w:p>
    <w:p w14:paraId="18FFDD35" w14:textId="77777777" w:rsidR="00A96AA9" w:rsidRPr="00A96AA9" w:rsidRDefault="00A96AA9" w:rsidP="002223E3">
      <w:pPr>
        <w:spacing w:after="60"/>
        <w:jc w:val="center"/>
        <w:rPr>
          <w:lang w:val="it-IT"/>
        </w:rPr>
      </w:pPr>
      <w:r w:rsidRPr="00A96AA9">
        <w:rPr>
          <w:rFonts w:cs="EUAlbertina"/>
          <w:b/>
          <w:bCs/>
          <w:color w:val="000000"/>
          <w:sz w:val="19"/>
          <w:szCs w:val="19"/>
          <w:lang w:val="it-IT"/>
        </w:rPr>
        <w:t>sugli orientamenti dell'Unione per lo sviluppo della rete transeuropea dei trasporti e che abroga la decisione n. 661/2010/UE</w:t>
      </w:r>
    </w:p>
    <w:p w14:paraId="2AD60735"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i/>
          <w:iCs/>
          <w:color w:val="000000"/>
          <w:sz w:val="22"/>
          <w:szCs w:val="22"/>
          <w:lang w:val="it-IT"/>
        </w:rPr>
        <w:t>Articolo 47</w:t>
      </w:r>
    </w:p>
    <w:p w14:paraId="6FDF44A2"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b/>
          <w:bCs/>
          <w:color w:val="000000"/>
          <w:sz w:val="22"/>
          <w:szCs w:val="22"/>
          <w:lang w:val="it-IT"/>
        </w:rPr>
        <w:t>Piano di lavoro</w:t>
      </w:r>
    </w:p>
    <w:p w14:paraId="6358E686" w14:textId="2B9AD12D"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1. Entro </w:t>
      </w:r>
      <w:r w:rsidR="00BD2E38">
        <w:rPr>
          <w:rFonts w:ascii="Verdana" w:hAnsi="Verdana" w:cs="EUAlbertina"/>
          <w:color w:val="000000"/>
          <w:sz w:val="22"/>
          <w:szCs w:val="22"/>
          <w:lang w:val="it-IT"/>
        </w:rPr>
        <w:t xml:space="preserve">il </w:t>
      </w:r>
      <w:r w:rsidRPr="00A96AA9">
        <w:rPr>
          <w:rFonts w:ascii="Verdana" w:hAnsi="Verdana" w:cs="EUAlbertina"/>
          <w:color w:val="000000"/>
          <w:sz w:val="22"/>
          <w:szCs w:val="22"/>
          <w:lang w:val="it-IT"/>
        </w:rPr>
        <w:t xml:space="preserve">22 dicembre 2014, ciascun coordinatore europeo presenta agli Stati membri interessati un piano di lavoro che analizza lo sviluppo del corridoio. Previa approvazione degli Stati membri interessati, il piano di lavoro è presentato per informazione al Parlamento europeo, al Consiglio e alla Commissione. </w:t>
      </w:r>
    </w:p>
    <w:p w14:paraId="64907D44"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Il piano di lavoro comprende, in particolare, una descrizione delle caratteristiche, delle tratte transfrontaliere e degli obiettivi del corridoio della rete centrale, applicando gli obiettivi e le priorità di cui agli articoli 4 e 10. Il piano di lavoro contiene un'analisi: </w:t>
      </w:r>
    </w:p>
    <w:p w14:paraId="16228AB3"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a) dello sviluppo dei sistemi interoperabili di gestione del traffico; </w:t>
      </w:r>
    </w:p>
    <w:p w14:paraId="462FA535"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b) di un piano per la rimozione degli ostacoli fisici, tecnici, operativi e amministrativi tra i modi di trasporto e all'interno di essi e per incrementare l'efficienza dei trasporti e dei servizi multimodali; </w:t>
      </w:r>
    </w:p>
    <w:p w14:paraId="2CE1B43A"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c) se del caso, di misure per migliorare la capacità amministrativa e tecnica di concepire, pianificare, progettare, appaltare, realizzare e monitorare progetti di interesse comune; </w:t>
      </w:r>
    </w:p>
    <w:p w14:paraId="69CBE3F8"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d) dei possibili impatti dei cambiamenti climatici sull'infrastruttura e, ove opportuno, le misure proposte per migliorare la resistenza ai cambiamenti climatici; </w:t>
      </w:r>
    </w:p>
    <w:p w14:paraId="4DF58533" w14:textId="77777777" w:rsidR="00A96AA9" w:rsidRPr="00A96AA9" w:rsidRDefault="00A96AA9" w:rsidP="002223E3">
      <w:pPr>
        <w:pStyle w:val="CM3"/>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e) delle misure da adottare per mitigare le emissioni di gas a effetto serra, l'inquinamento acustico e, se del caso, altri impatti negativi sull'ambiente;</w:t>
      </w:r>
    </w:p>
    <w:p w14:paraId="5F03C2C7"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Il piano di lavoro comprende dettagli delle consultazioni pubbliche che sostengono lo sviluppo del piano di lavoro e la sua attuazione. </w:t>
      </w:r>
    </w:p>
    <w:p w14:paraId="2E54308C"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Il piano di lavoro include inoltre un'analisi degli investimenti richiesti, ivi compresi: </w:t>
      </w:r>
    </w:p>
    <w:p w14:paraId="6ED7460B"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 l'elenco di progetti per l'estensione, il rinnovo o la reinstallazione dell'infrastruttura di trasporto di cui all'articolo 2, paragrafo 2 per ognuno dei modi di trasporto interessati dal corridoio della rete centrale; </w:t>
      </w:r>
    </w:p>
    <w:p w14:paraId="53A7165F" w14:textId="77777777" w:rsidR="00A96AA9" w:rsidRPr="00A96AA9" w:rsidRDefault="00A96AA9" w:rsidP="002223E3">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 le varie fonti previste, in partenariato con gli Stati membri interessati, per il finanziamento, a livello internazionale, nazionale, regionale, locale e dell'Unione, includendo, quando possibile, i sistemi di finanziamento incrociato con destinazione specifica, nonché il capitale privato, assieme all'importo degli impegni già presi e, ove applicabile, il riferimento al contributo dell'Unione previsto nell'ambito dei suoi programmi finanziari. </w:t>
      </w:r>
    </w:p>
    <w:p w14:paraId="4C121673" w14:textId="64B032CA" w:rsidR="00A96AA9" w:rsidRPr="00700E64" w:rsidRDefault="00A96AA9" w:rsidP="005C627F">
      <w:pPr>
        <w:pStyle w:val="CM1"/>
        <w:spacing w:after="60"/>
        <w:jc w:val="both"/>
        <w:rPr>
          <w:rFonts w:ascii="Verdana" w:hAnsi="Verdana" w:cs="EUAlbertina"/>
          <w:b/>
          <w:bCs/>
          <w:color w:val="000000"/>
          <w:sz w:val="22"/>
          <w:szCs w:val="22"/>
          <w:lang w:val="it-IT"/>
        </w:rPr>
      </w:pPr>
      <w:r w:rsidRPr="00700E64">
        <w:rPr>
          <w:rFonts w:ascii="Verdana" w:hAnsi="Verdana" w:cs="EUAlbertina"/>
          <w:b/>
          <w:bCs/>
          <w:color w:val="000000"/>
          <w:sz w:val="22"/>
          <w:szCs w:val="22"/>
          <w:lang w:val="it-IT"/>
        </w:rPr>
        <w:t xml:space="preserve">2. Fatti salvi l'articolo 1, paragrafo 4, </w:t>
      </w:r>
      <w:r w:rsidR="005C627F" w:rsidRPr="005C627F">
        <w:rPr>
          <w:rFonts w:cs="EUAlbertina"/>
          <w:color w:val="19161A"/>
          <w:sz w:val="19"/>
          <w:szCs w:val="19"/>
          <w:lang w:val="it-IT"/>
        </w:rPr>
        <w:t xml:space="preserve">4. Il presente regolamento prevede misure per la realizzazione della rete transeuropea dei trasporti. La realizzazione dei progetti di interesse comune dipende dal loro grado di maturità, dalla conformità con le procedure giuridiche dell'Unione e nazionali e dalla disponibilità di risorse finanziarie, fatto salvo l'impegno finanziario di uno Stato membro o dell'Unione. </w:t>
      </w:r>
      <w:r w:rsidRPr="00700E64">
        <w:rPr>
          <w:rFonts w:ascii="Verdana" w:hAnsi="Verdana" w:cs="EUAlbertina"/>
          <w:b/>
          <w:bCs/>
          <w:color w:val="000000"/>
          <w:sz w:val="22"/>
          <w:szCs w:val="22"/>
          <w:lang w:val="it-IT"/>
        </w:rPr>
        <w:t xml:space="preserve">e l'articolo 54 </w:t>
      </w:r>
      <w:r w:rsidR="005C627F">
        <w:rPr>
          <w:rFonts w:cs="EUAlbertina"/>
          <w:b/>
          <w:bCs/>
          <w:color w:val="19161A"/>
          <w:sz w:val="19"/>
          <w:szCs w:val="19"/>
          <w:lang w:val="it-IT"/>
        </w:rPr>
        <w:t>Ri</w:t>
      </w:r>
      <w:r w:rsidR="005C627F" w:rsidRPr="005C627F">
        <w:rPr>
          <w:rFonts w:cs="EUAlbertina"/>
          <w:b/>
          <w:bCs/>
          <w:color w:val="19161A"/>
          <w:sz w:val="19"/>
          <w:szCs w:val="19"/>
          <w:lang w:val="it-IT"/>
        </w:rPr>
        <w:t>esame</w:t>
      </w:r>
      <w:r w:rsidR="005C627F">
        <w:rPr>
          <w:rFonts w:cs="EUAlbertina"/>
          <w:b/>
          <w:bCs/>
          <w:color w:val="19161A"/>
          <w:sz w:val="19"/>
          <w:szCs w:val="19"/>
          <w:lang w:val="it-IT"/>
        </w:rPr>
        <w:t xml:space="preserve"> </w:t>
      </w:r>
      <w:r w:rsidR="005C627F" w:rsidRPr="005C627F">
        <w:rPr>
          <w:rFonts w:cs="EUAlbertina"/>
          <w:color w:val="19161A"/>
          <w:sz w:val="19"/>
          <w:szCs w:val="19"/>
          <w:lang w:val="it-IT"/>
        </w:rPr>
        <w:t>1. Entro il 31 dicembre 2023 la Commissione, se del caso previa consultazione degli Stati membri e con l'assistenza dei coordinatori europei, procede a un riesame della realizzazione della rete centrale, valutando:</w:t>
      </w:r>
      <w:r w:rsidR="005C627F">
        <w:rPr>
          <w:rFonts w:cs="EUAlbertina"/>
          <w:color w:val="19161A"/>
          <w:sz w:val="19"/>
          <w:szCs w:val="19"/>
          <w:lang w:val="it-IT"/>
        </w:rPr>
        <w:t xml:space="preserve"> … </w:t>
      </w:r>
      <w:r w:rsidRPr="00700E64">
        <w:rPr>
          <w:rFonts w:ascii="Verdana" w:hAnsi="Verdana" w:cs="EUAlbertina"/>
          <w:b/>
          <w:bCs/>
          <w:color w:val="000000"/>
          <w:sz w:val="22"/>
          <w:szCs w:val="22"/>
          <w:lang w:val="it-IT"/>
        </w:rPr>
        <w:t xml:space="preserve">e previa approvazione degli Stati membri interessati, la Commissione può adottare </w:t>
      </w:r>
      <w:r w:rsidRPr="005C627F">
        <w:rPr>
          <w:rFonts w:ascii="Verdana" w:hAnsi="Verdana" w:cs="EUAlbertina"/>
          <w:b/>
          <w:bCs/>
          <w:color w:val="000000"/>
          <w:sz w:val="22"/>
          <w:szCs w:val="22"/>
          <w:u w:val="single"/>
          <w:lang w:val="it-IT"/>
        </w:rPr>
        <w:t>atti di esecuzione</w:t>
      </w:r>
      <w:r w:rsidRPr="00700E64">
        <w:rPr>
          <w:rFonts w:ascii="Verdana" w:hAnsi="Verdana" w:cs="EUAlbertina"/>
          <w:b/>
          <w:bCs/>
          <w:color w:val="000000"/>
          <w:sz w:val="22"/>
          <w:szCs w:val="22"/>
          <w:lang w:val="it-IT"/>
        </w:rPr>
        <w:t xml:space="preserve"> riguardo alle dimensioni transfrontaliera e orizzontale dei piani di lavoro relativi a un corridoio della rete centrale. </w:t>
      </w:r>
    </w:p>
    <w:p w14:paraId="3FD59D40" w14:textId="77777777" w:rsidR="005C627F" w:rsidRDefault="00A96AA9" w:rsidP="005C627F">
      <w:pPr>
        <w:pStyle w:val="CM4"/>
        <w:spacing w:after="60"/>
        <w:jc w:val="both"/>
        <w:rPr>
          <w:rFonts w:ascii="Verdana" w:hAnsi="Verdana" w:cs="EUAlbertina"/>
          <w:b/>
          <w:bCs/>
          <w:color w:val="000000"/>
          <w:sz w:val="22"/>
          <w:szCs w:val="22"/>
          <w:lang w:val="it-IT"/>
        </w:rPr>
      </w:pPr>
      <w:r w:rsidRPr="00700E64">
        <w:rPr>
          <w:rFonts w:ascii="Verdana" w:hAnsi="Verdana" w:cs="EUAlbertina"/>
          <w:b/>
          <w:bCs/>
          <w:color w:val="000000"/>
          <w:sz w:val="22"/>
          <w:szCs w:val="22"/>
          <w:lang w:val="it-IT"/>
        </w:rPr>
        <w:t>Un</w:t>
      </w:r>
      <w:r w:rsidR="00363887" w:rsidRPr="00700E64">
        <w:rPr>
          <w:rFonts w:ascii="Verdana" w:hAnsi="Verdana" w:cs="EUAlbertina"/>
          <w:b/>
          <w:bCs/>
          <w:color w:val="000000"/>
          <w:sz w:val="22"/>
          <w:szCs w:val="22"/>
          <w:lang w:val="it-IT"/>
        </w:rPr>
        <w:t>a</w:t>
      </w:r>
      <w:r w:rsidRPr="00700E64">
        <w:rPr>
          <w:rFonts w:ascii="Verdana" w:hAnsi="Verdana" w:cs="EUAlbertina"/>
          <w:b/>
          <w:bCs/>
          <w:color w:val="000000"/>
          <w:sz w:val="22"/>
          <w:szCs w:val="22"/>
          <w:lang w:val="it-IT"/>
        </w:rPr>
        <w:t xml:space="preserve"> volta adottati, la Commissione adegua tali </w:t>
      </w:r>
      <w:r w:rsidRPr="005C627F">
        <w:rPr>
          <w:rFonts w:ascii="Verdana" w:hAnsi="Verdana" w:cs="EUAlbertina"/>
          <w:b/>
          <w:bCs/>
          <w:color w:val="000000"/>
          <w:sz w:val="22"/>
          <w:szCs w:val="22"/>
          <w:u w:val="single"/>
          <w:lang w:val="it-IT"/>
        </w:rPr>
        <w:t>atti di esecuzione</w:t>
      </w:r>
      <w:r w:rsidRPr="00700E64">
        <w:rPr>
          <w:rFonts w:ascii="Verdana" w:hAnsi="Verdana" w:cs="EUAlbertina"/>
          <w:b/>
          <w:bCs/>
          <w:color w:val="000000"/>
          <w:sz w:val="22"/>
          <w:szCs w:val="22"/>
          <w:lang w:val="it-IT"/>
        </w:rPr>
        <w:t xml:space="preserve">, previa approvazione degli Stati membri interessati, allo scopo di tener conto dei progressi compiuti, dei ritardi subiti o dei programmi nazionali aggiornati. </w:t>
      </w:r>
    </w:p>
    <w:p w14:paraId="69E68E79" w14:textId="59046CAC" w:rsidR="00A96AA9" w:rsidRPr="005C627F" w:rsidRDefault="00A96AA9" w:rsidP="005C627F">
      <w:pPr>
        <w:pStyle w:val="CM4"/>
        <w:spacing w:after="60"/>
        <w:jc w:val="both"/>
        <w:rPr>
          <w:rFonts w:ascii="Verdana" w:hAnsi="Verdana" w:cs="EUAlbertina"/>
          <w:b/>
          <w:bCs/>
          <w:color w:val="000000"/>
          <w:sz w:val="22"/>
          <w:szCs w:val="22"/>
          <w:lang w:val="it-IT"/>
        </w:rPr>
      </w:pPr>
      <w:r w:rsidRPr="00700E64">
        <w:rPr>
          <w:rFonts w:ascii="Verdana" w:hAnsi="Verdana" w:cs="EUAlbertina"/>
          <w:b/>
          <w:bCs/>
          <w:color w:val="000000"/>
          <w:sz w:val="22"/>
          <w:szCs w:val="22"/>
          <w:lang w:val="it-IT"/>
        </w:rPr>
        <w:t xml:space="preserve">Tali </w:t>
      </w:r>
      <w:r w:rsidRPr="00D1026E">
        <w:rPr>
          <w:rFonts w:ascii="Verdana" w:hAnsi="Verdana" w:cs="EUAlbertina"/>
          <w:b/>
          <w:bCs/>
          <w:color w:val="000000"/>
          <w:sz w:val="22"/>
          <w:szCs w:val="22"/>
          <w:u w:val="single"/>
          <w:lang w:val="it-IT"/>
        </w:rPr>
        <w:t xml:space="preserve">atti di esecuzione </w:t>
      </w:r>
      <w:r w:rsidRPr="00700E64">
        <w:rPr>
          <w:rFonts w:ascii="Verdana" w:hAnsi="Verdana" w:cs="EUAlbertina"/>
          <w:b/>
          <w:bCs/>
          <w:color w:val="000000"/>
          <w:sz w:val="22"/>
          <w:szCs w:val="22"/>
          <w:lang w:val="it-IT"/>
        </w:rPr>
        <w:t xml:space="preserve">sono adottati secondo la procedura d'esame di cui all'articolo 52, paragrafo 2. </w:t>
      </w:r>
      <w:r w:rsidR="005C627F">
        <w:rPr>
          <w:rFonts w:ascii="Verdana" w:hAnsi="Verdana" w:cs="EUAlbertina"/>
          <w:b/>
          <w:bCs/>
          <w:color w:val="000000"/>
          <w:sz w:val="22"/>
          <w:szCs w:val="22"/>
          <w:lang w:val="it-IT"/>
        </w:rPr>
        <w:t xml:space="preserve"> </w:t>
      </w:r>
      <w:r w:rsidR="005C627F" w:rsidRPr="005C627F">
        <w:rPr>
          <w:rFonts w:cs="EUAlbertina"/>
          <w:b/>
          <w:bCs/>
          <w:color w:val="19161A"/>
          <w:sz w:val="19"/>
          <w:szCs w:val="19"/>
          <w:lang w:val="it-IT"/>
        </w:rPr>
        <w:t>Procedura di comitato</w:t>
      </w:r>
      <w:r w:rsidR="005C627F">
        <w:rPr>
          <w:rFonts w:cs="EUAlbertina"/>
          <w:b/>
          <w:bCs/>
          <w:color w:val="19161A"/>
          <w:sz w:val="19"/>
          <w:szCs w:val="19"/>
          <w:lang w:val="it-IT"/>
        </w:rPr>
        <w:t xml:space="preserve"> </w:t>
      </w:r>
      <w:r w:rsidR="005C627F" w:rsidRPr="005C627F">
        <w:rPr>
          <w:rFonts w:cs="EUAlbertina"/>
          <w:color w:val="19161A"/>
          <w:sz w:val="19"/>
          <w:szCs w:val="19"/>
          <w:lang w:val="it-IT"/>
        </w:rPr>
        <w:t xml:space="preserve">2. Nei casi in cui è fatto riferimento al presente paragrafo, si applica l’articolo 5 del regolamento (UE) n. 182/2011. Qualora il comitato non esprima alcun parere, la Commissione non adotta il progetto di </w:t>
      </w:r>
      <w:r w:rsidR="005C627F" w:rsidRPr="00D1026E">
        <w:rPr>
          <w:rFonts w:cs="EUAlbertina"/>
          <w:color w:val="19161A"/>
          <w:sz w:val="19"/>
          <w:szCs w:val="19"/>
          <w:u w:val="single"/>
          <w:lang w:val="it-IT"/>
        </w:rPr>
        <w:t>atto di esecuzione</w:t>
      </w:r>
      <w:r w:rsidR="005C627F" w:rsidRPr="005C627F">
        <w:rPr>
          <w:rFonts w:cs="EUAlbertina"/>
          <w:color w:val="19161A"/>
          <w:sz w:val="19"/>
          <w:szCs w:val="19"/>
          <w:lang w:val="it-IT"/>
        </w:rPr>
        <w:t xml:space="preserve"> e si applica l'articolo 5, paragrafo 4, terzo comma, del regolamento (UE) n. 182/2011.</w:t>
      </w:r>
      <w:r w:rsidR="00D1026E">
        <w:rPr>
          <w:rFonts w:cs="EUAlbertina"/>
          <w:color w:val="19161A"/>
          <w:sz w:val="19"/>
          <w:szCs w:val="19"/>
          <w:lang w:val="it-IT"/>
        </w:rPr>
        <w:t xml:space="preserve"> </w:t>
      </w:r>
    </w:p>
    <w:p w14:paraId="4CF4B71C" w14:textId="77777777" w:rsidR="00A96AA9" w:rsidRPr="00A96AA9" w:rsidRDefault="00A96AA9" w:rsidP="005C627F">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lastRenderedPageBreak/>
        <w:t xml:space="preserve">3. Il coordinatore europeo presta sostegno agli Stati membri nell’attuazione del piano di lavoro in particolare per quanto riguarda: </w:t>
      </w:r>
    </w:p>
    <w:p w14:paraId="63219060" w14:textId="77777777" w:rsidR="00A96AA9" w:rsidRPr="00A96AA9" w:rsidRDefault="00A96AA9" w:rsidP="005C627F">
      <w:pPr>
        <w:pStyle w:val="CM4"/>
        <w:spacing w:after="60"/>
        <w:jc w:val="both"/>
        <w:rPr>
          <w:rFonts w:ascii="Verdana" w:hAnsi="Verdana" w:cs="EUAlbertina"/>
          <w:color w:val="000000"/>
          <w:sz w:val="22"/>
          <w:szCs w:val="22"/>
          <w:lang w:val="it-IT"/>
        </w:rPr>
      </w:pPr>
      <w:r w:rsidRPr="00A96AA9">
        <w:rPr>
          <w:rFonts w:ascii="Verdana" w:hAnsi="Verdana" w:cs="EUAlbertina"/>
          <w:color w:val="000000"/>
          <w:sz w:val="22"/>
          <w:szCs w:val="22"/>
          <w:lang w:val="it-IT"/>
        </w:rPr>
        <w:t xml:space="preserve">a) la programmazione degli investimenti, i relativi costi e il calendario di attuazione giudicati necessari per la realizzazione dei corridoi della rete centrale; </w:t>
      </w:r>
    </w:p>
    <w:p w14:paraId="19AC9F99" w14:textId="49E355B2" w:rsidR="00A96AA9" w:rsidRDefault="00A96AA9" w:rsidP="002223E3">
      <w:pPr>
        <w:spacing w:after="60"/>
        <w:jc w:val="both"/>
        <w:rPr>
          <w:rFonts w:ascii="Verdana" w:hAnsi="Verdana" w:cs="EUAlbertina"/>
          <w:color w:val="000000"/>
          <w:lang w:val="it-IT"/>
        </w:rPr>
      </w:pPr>
      <w:r w:rsidRPr="00A96AA9">
        <w:rPr>
          <w:rFonts w:ascii="Verdana" w:hAnsi="Verdana" w:cs="EUAlbertina"/>
          <w:color w:val="000000"/>
          <w:lang w:val="it-IT"/>
        </w:rPr>
        <w:t>b) la definizione delle misure mirate a promuovere l'introduzione di nuove tecnologie nella gestione del traffico e della capacità e, ove opportuno, a ridurre i costi esterni, in particolare le emissioni di gas a effetto serra e l'inquinamento acustico.</w:t>
      </w:r>
    </w:p>
    <w:p w14:paraId="2FD8375B" w14:textId="77777777" w:rsidR="00172D73" w:rsidRPr="006015E2" w:rsidRDefault="00172D73" w:rsidP="00172D73">
      <w:pPr>
        <w:spacing w:after="60" w:line="240" w:lineRule="auto"/>
        <w:rPr>
          <w:rFonts w:ascii="Verdana" w:hAnsi="Verdana" w:cs="EUAlbertina"/>
          <w:i/>
          <w:iCs/>
          <w:color w:val="000000"/>
          <w:lang w:val="it-IT"/>
        </w:rPr>
      </w:pPr>
    </w:p>
    <w:p w14:paraId="29917890" w14:textId="2319CCF2" w:rsidR="00172D73" w:rsidRPr="00172D73" w:rsidRDefault="00172D73" w:rsidP="00172D73">
      <w:pPr>
        <w:spacing w:after="60" w:line="240" w:lineRule="auto"/>
        <w:rPr>
          <w:rFonts w:ascii="Verdana" w:hAnsi="Verdana" w:cs="EUAlbertina"/>
          <w:i/>
          <w:iCs/>
          <w:color w:val="000000"/>
        </w:rPr>
      </w:pPr>
      <w:r w:rsidRPr="00172D73">
        <w:rPr>
          <w:rFonts w:ascii="Verdana" w:hAnsi="Verdana" w:cs="EUAlbertina"/>
          <w:i/>
          <w:iCs/>
          <w:color w:val="000000"/>
        </w:rPr>
        <w:t>Article 47</w:t>
      </w:r>
    </w:p>
    <w:p w14:paraId="1F56CA47" w14:textId="77777777" w:rsidR="00172D73" w:rsidRPr="00172D73" w:rsidRDefault="00172D73" w:rsidP="00172D73">
      <w:pPr>
        <w:spacing w:after="60" w:line="240" w:lineRule="auto"/>
        <w:rPr>
          <w:rFonts w:ascii="Verdana" w:hAnsi="Verdana" w:cs="EUAlbertina"/>
          <w:b/>
          <w:bCs/>
          <w:color w:val="000000"/>
        </w:rPr>
      </w:pPr>
      <w:r w:rsidRPr="00172D73">
        <w:rPr>
          <w:rFonts w:ascii="Verdana" w:hAnsi="Verdana" w:cs="EUAlbertina"/>
          <w:b/>
          <w:bCs/>
          <w:color w:val="000000"/>
        </w:rPr>
        <w:t>Plan de travail</w:t>
      </w:r>
    </w:p>
    <w:p w14:paraId="52D5A348" w14:textId="77777777"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1.   Au plus tard le 22 décembre 2014, chaque coordonnateur européen présente aux États membres concernés un plan de travail analysant le développement du corridor. Après avoir été approuvé par les États membres concernés, le plan de travail est soumis pour information au Parlement européen, au Conseil et à la Commission.</w:t>
      </w:r>
    </w:p>
    <w:p w14:paraId="578D5D99" w14:textId="06A55D92"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Le plan de travail comprend, en particulier, une description des caractéristiques, des tronçons transfrontaliers et des objectifs du corridor de réseau central, appliquant les objectifs et les priorités fixés aux articles 4 et 10. Le plan de travail comprend une analyse</w:t>
      </w:r>
      <w:r>
        <w:rPr>
          <w:rFonts w:ascii="Verdana" w:hAnsi="Verdana" w:cs="EUAlbertina"/>
          <w:color w:val="000000"/>
        </w:rPr>
        <w:t> :</w:t>
      </w:r>
    </w:p>
    <w:p w14:paraId="62AE3D70" w14:textId="5B4CF8CA" w:rsidR="00172D73" w:rsidRPr="00172D73" w:rsidRDefault="00172D73" w:rsidP="00172D73">
      <w:pPr>
        <w:pStyle w:val="Paragrafoelenco"/>
        <w:numPr>
          <w:ilvl w:val="0"/>
          <w:numId w:val="6"/>
        </w:numPr>
        <w:spacing w:after="60" w:line="240" w:lineRule="auto"/>
        <w:ind w:left="357" w:hanging="357"/>
        <w:contextualSpacing w:val="0"/>
        <w:jc w:val="both"/>
        <w:rPr>
          <w:rFonts w:ascii="Verdana" w:hAnsi="Verdana" w:cs="EUAlbertina"/>
          <w:color w:val="000000"/>
        </w:rPr>
      </w:pPr>
      <w:r w:rsidRPr="00172D73">
        <w:rPr>
          <w:rFonts w:ascii="Verdana" w:hAnsi="Verdana" w:cs="EUAlbertina"/>
          <w:color w:val="000000"/>
        </w:rPr>
        <w:t xml:space="preserve">du déploiement des systèmes de gestion du trafic </w:t>
      </w:r>
      <w:r w:rsidR="006B76F1" w:rsidRPr="00172D73">
        <w:rPr>
          <w:rFonts w:ascii="Verdana" w:hAnsi="Verdana" w:cs="EUAlbertina"/>
          <w:color w:val="000000"/>
        </w:rPr>
        <w:t>interopérables ;</w:t>
      </w:r>
    </w:p>
    <w:p w14:paraId="41B67BA4" w14:textId="0B3412E1"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b)</w:t>
      </w:r>
      <w:r>
        <w:rPr>
          <w:rFonts w:ascii="Verdana" w:hAnsi="Verdana" w:cs="EUAlbertina"/>
          <w:color w:val="000000"/>
        </w:rPr>
        <w:t xml:space="preserve"> </w:t>
      </w:r>
      <w:r w:rsidRPr="00172D73">
        <w:rPr>
          <w:rFonts w:ascii="Verdana" w:hAnsi="Verdana" w:cs="EUAlbertina"/>
          <w:color w:val="000000"/>
        </w:rPr>
        <w:t xml:space="preserve">d'un plan visant l'élimination des obstacles physiques, techniques, opérationnels et administratifs au sein des différents modes de transport et entre eux, mais aussi l'amélioration de l'efficacité des transports et des services </w:t>
      </w:r>
      <w:r w:rsidR="006015E2" w:rsidRPr="00172D73">
        <w:rPr>
          <w:rFonts w:ascii="Verdana" w:hAnsi="Verdana" w:cs="EUAlbertina"/>
          <w:color w:val="000000"/>
        </w:rPr>
        <w:t>multimodaux ;</w:t>
      </w:r>
    </w:p>
    <w:p w14:paraId="27E94983" w14:textId="20C2194E"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c)</w:t>
      </w:r>
      <w:r>
        <w:rPr>
          <w:rFonts w:ascii="Verdana" w:hAnsi="Verdana" w:cs="EUAlbertina"/>
          <w:color w:val="000000"/>
        </w:rPr>
        <w:t xml:space="preserve"> </w:t>
      </w:r>
      <w:r w:rsidRPr="00172D73">
        <w:rPr>
          <w:rFonts w:ascii="Verdana" w:hAnsi="Verdana" w:cs="EUAlbertina"/>
          <w:color w:val="000000"/>
        </w:rPr>
        <w:t>le cas échéant, des mesures d'amélioration de la capacité administrative et technique à concevoir, planifier, créer, lancer une procédure d'octroi de marché, mettre en œuvre et suivre des projets d'intérêt commun</w:t>
      </w:r>
      <w:r>
        <w:rPr>
          <w:rFonts w:ascii="Verdana" w:hAnsi="Verdana" w:cs="EUAlbertina"/>
          <w:color w:val="000000"/>
        </w:rPr>
        <w:t xml:space="preserve"> </w:t>
      </w:r>
      <w:r w:rsidRPr="00172D73">
        <w:rPr>
          <w:rFonts w:ascii="Verdana" w:hAnsi="Verdana" w:cs="EUAlbertina"/>
          <w:color w:val="000000"/>
        </w:rPr>
        <w:t>;</w:t>
      </w:r>
    </w:p>
    <w:p w14:paraId="6A7E7CE5" w14:textId="2F17025B"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d)</w:t>
      </w:r>
      <w:r>
        <w:rPr>
          <w:rFonts w:ascii="Verdana" w:hAnsi="Verdana" w:cs="EUAlbertina"/>
          <w:color w:val="000000"/>
        </w:rPr>
        <w:t xml:space="preserve"> </w:t>
      </w:r>
      <w:r w:rsidRPr="00172D73">
        <w:rPr>
          <w:rFonts w:ascii="Verdana" w:hAnsi="Verdana" w:cs="EUAlbertina"/>
          <w:color w:val="000000"/>
        </w:rPr>
        <w:t>de l'incidence possible des changements climatiques sur les infrastructures et, le cas échéant, des suggestions de mesures en vue d'améliorer la résilience au changement climatique</w:t>
      </w:r>
      <w:r>
        <w:rPr>
          <w:rFonts w:ascii="Verdana" w:hAnsi="Verdana" w:cs="EUAlbertina"/>
          <w:color w:val="000000"/>
        </w:rPr>
        <w:t xml:space="preserve"> </w:t>
      </w:r>
      <w:r w:rsidRPr="00172D73">
        <w:rPr>
          <w:rFonts w:ascii="Verdana" w:hAnsi="Verdana" w:cs="EUAlbertina"/>
          <w:color w:val="000000"/>
        </w:rPr>
        <w:t>;</w:t>
      </w:r>
    </w:p>
    <w:p w14:paraId="46984D92" w14:textId="6871FEFA"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e)</w:t>
      </w:r>
      <w:r>
        <w:rPr>
          <w:rFonts w:ascii="Verdana" w:hAnsi="Verdana" w:cs="EUAlbertina"/>
          <w:color w:val="000000"/>
        </w:rPr>
        <w:t xml:space="preserve"> </w:t>
      </w:r>
      <w:r w:rsidRPr="00172D73">
        <w:rPr>
          <w:rFonts w:ascii="Verdana" w:hAnsi="Verdana" w:cs="EUAlbertina"/>
          <w:color w:val="000000"/>
        </w:rPr>
        <w:t>des mesures à prendre afin de réduire les émissions de gaz à effet de serre, le bruit et, le cas échéant, d'autres répercussions négatives sur l'environnement.</w:t>
      </w:r>
    </w:p>
    <w:p w14:paraId="721FF606" w14:textId="77777777"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Le plan de travail comporte des détails sur les consultations publiques qui soutiennent le développement du plan de travail et sa mise en œuvre.</w:t>
      </w:r>
    </w:p>
    <w:p w14:paraId="3D6F706F" w14:textId="11DB8F59" w:rsidR="00172D73" w:rsidRP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Le plan de travail comprend également une analyse des investissements nécessaires, y compris</w:t>
      </w:r>
      <w:r>
        <w:rPr>
          <w:rFonts w:ascii="Verdana" w:hAnsi="Verdana" w:cs="EUAlbertina"/>
          <w:color w:val="000000"/>
        </w:rPr>
        <w:t xml:space="preserve"> </w:t>
      </w:r>
      <w:r w:rsidRPr="00172D73">
        <w:rPr>
          <w:rFonts w:ascii="Verdana" w:hAnsi="Verdana" w:cs="EUAlbertina"/>
          <w:color w:val="000000"/>
        </w:rPr>
        <w:t>:</w:t>
      </w:r>
    </w:p>
    <w:p w14:paraId="1992887C" w14:textId="161BBB64" w:rsidR="00172D73" w:rsidRPr="00172D73" w:rsidRDefault="00172D73" w:rsidP="00172D73">
      <w:pPr>
        <w:pStyle w:val="Paragrafoelenco"/>
        <w:numPr>
          <w:ilvl w:val="0"/>
          <w:numId w:val="4"/>
        </w:numPr>
        <w:spacing w:after="60" w:line="240" w:lineRule="auto"/>
        <w:ind w:left="357" w:hanging="357"/>
        <w:contextualSpacing w:val="0"/>
        <w:jc w:val="both"/>
        <w:rPr>
          <w:rFonts w:ascii="Verdana" w:hAnsi="Verdana" w:cs="EUAlbertina"/>
          <w:color w:val="000000"/>
        </w:rPr>
      </w:pPr>
      <w:r w:rsidRPr="00172D73">
        <w:rPr>
          <w:rFonts w:ascii="Verdana" w:hAnsi="Verdana" w:cs="EUAlbertina"/>
          <w:color w:val="000000"/>
        </w:rPr>
        <w:t>la</w:t>
      </w:r>
      <w:r>
        <w:rPr>
          <w:rFonts w:ascii="Verdana" w:hAnsi="Verdana" w:cs="EUAlbertina"/>
          <w:color w:val="000000"/>
        </w:rPr>
        <w:t xml:space="preserve"> </w:t>
      </w:r>
      <w:r w:rsidRPr="00172D73">
        <w:rPr>
          <w:rFonts w:ascii="Verdana" w:hAnsi="Verdana" w:cs="EUAlbertina"/>
          <w:color w:val="000000"/>
        </w:rPr>
        <w:t>liste des projets d'extension, de renouvellement ou de redéploiement des infrastructures de transport visées à l'article 2, paragraphe 2, pour chacun des modes de transport impliqués dans le corridor de réseau central,</w:t>
      </w:r>
    </w:p>
    <w:p w14:paraId="4F427380" w14:textId="5D8A70E4" w:rsidR="00172D73" w:rsidRPr="00172D73" w:rsidRDefault="00172D73" w:rsidP="00172D73">
      <w:pPr>
        <w:pStyle w:val="Paragrafoelenco"/>
        <w:numPr>
          <w:ilvl w:val="0"/>
          <w:numId w:val="4"/>
        </w:numPr>
        <w:spacing w:after="60" w:line="240" w:lineRule="auto"/>
        <w:ind w:left="357" w:hanging="357"/>
        <w:contextualSpacing w:val="0"/>
        <w:jc w:val="both"/>
        <w:rPr>
          <w:rFonts w:ascii="Verdana" w:hAnsi="Verdana" w:cs="EUAlbertina"/>
          <w:color w:val="000000"/>
        </w:rPr>
      </w:pPr>
      <w:r w:rsidRPr="00172D73">
        <w:rPr>
          <w:rFonts w:ascii="Verdana" w:hAnsi="Verdana" w:cs="EUAlbertina"/>
          <w:color w:val="000000"/>
        </w:rPr>
        <w:t>les</w:t>
      </w:r>
      <w:r>
        <w:rPr>
          <w:rFonts w:ascii="Verdana" w:hAnsi="Verdana" w:cs="EUAlbertina"/>
          <w:color w:val="000000"/>
        </w:rPr>
        <w:t xml:space="preserve"> </w:t>
      </w:r>
      <w:r w:rsidRPr="00172D73">
        <w:rPr>
          <w:rFonts w:ascii="Verdana" w:hAnsi="Verdana" w:cs="EUAlbertina"/>
          <w:color w:val="000000"/>
        </w:rPr>
        <w:t>différentes sources de financement et de subventions envisagées, en partenariat avec les États membres concernés, au niveau international, national, régional, local et de l'Union, y compris, si possible, les systèmes de financement croisés et les capitaux privés alloués, ainsi que les engagements déjà pris et, le cas échéant, une référence à la contribution de l'Union envisagée dans le cadre des programmes financiers de l'Union.</w:t>
      </w:r>
    </w:p>
    <w:p w14:paraId="4E450B2C" w14:textId="77777777" w:rsidR="00172D73" w:rsidRPr="00700E64" w:rsidRDefault="00172D73" w:rsidP="00172D73">
      <w:pPr>
        <w:spacing w:after="60" w:line="240" w:lineRule="auto"/>
        <w:jc w:val="both"/>
        <w:rPr>
          <w:rFonts w:ascii="Verdana" w:hAnsi="Verdana" w:cs="EUAlbertina"/>
          <w:b/>
          <w:bCs/>
          <w:color w:val="000000"/>
        </w:rPr>
      </w:pPr>
      <w:r w:rsidRPr="00700E64">
        <w:rPr>
          <w:rFonts w:ascii="Verdana" w:hAnsi="Verdana" w:cs="EUAlbertina"/>
          <w:b/>
          <w:bCs/>
          <w:color w:val="000000"/>
        </w:rPr>
        <w:t>2.   Sous réserve de l'article 1er, paragraphe 4, et de l'article 54, et après approbation par les États membres concernés, la Commission peut adopter des actes d'exécution en ce qui concerne les aspects transfrontaliers et horizontaux des plans de travail des corridors de réseau central.</w:t>
      </w:r>
    </w:p>
    <w:p w14:paraId="78B2C52A" w14:textId="77777777" w:rsidR="00172D73" w:rsidRPr="00700E64" w:rsidRDefault="00172D73" w:rsidP="00172D73">
      <w:pPr>
        <w:spacing w:after="60" w:line="240" w:lineRule="auto"/>
        <w:jc w:val="both"/>
        <w:rPr>
          <w:rFonts w:ascii="Verdana" w:hAnsi="Verdana" w:cs="EUAlbertina"/>
          <w:b/>
          <w:bCs/>
          <w:color w:val="000000"/>
        </w:rPr>
      </w:pPr>
      <w:r w:rsidRPr="00700E64">
        <w:rPr>
          <w:rFonts w:ascii="Verdana" w:hAnsi="Verdana" w:cs="EUAlbertina"/>
          <w:b/>
          <w:bCs/>
          <w:color w:val="000000"/>
        </w:rPr>
        <w:t>Une fois qu'elle les a adoptés, la Commission adapte ces actes d'exécution, après approbation par les États membres concernés, afin de prendre en compte les progrès réalisés, les retards subis ou les mises à jour des programmes nationaux.</w:t>
      </w:r>
    </w:p>
    <w:p w14:paraId="05C91262" w14:textId="77777777" w:rsidR="00172D73" w:rsidRPr="00700E64" w:rsidRDefault="00172D73" w:rsidP="00172D73">
      <w:pPr>
        <w:spacing w:after="60" w:line="240" w:lineRule="auto"/>
        <w:jc w:val="both"/>
        <w:rPr>
          <w:rFonts w:ascii="Verdana" w:hAnsi="Verdana" w:cs="EUAlbertina"/>
          <w:b/>
          <w:bCs/>
          <w:color w:val="000000"/>
        </w:rPr>
      </w:pPr>
      <w:r w:rsidRPr="00700E64">
        <w:rPr>
          <w:rFonts w:ascii="Verdana" w:hAnsi="Verdana" w:cs="EUAlbertina"/>
          <w:b/>
          <w:bCs/>
          <w:color w:val="000000"/>
        </w:rPr>
        <w:lastRenderedPageBreak/>
        <w:t>Ces actes d'exécution sont adoptés en conformité avec la procédure d'examen visée à l'article 52, paragraphe 2.</w:t>
      </w:r>
    </w:p>
    <w:p w14:paraId="067AD762" w14:textId="7FE88E6C" w:rsidR="00172D73" w:rsidRDefault="00172D73" w:rsidP="00172D73">
      <w:pPr>
        <w:spacing w:after="60" w:line="240" w:lineRule="auto"/>
        <w:jc w:val="both"/>
        <w:rPr>
          <w:rFonts w:ascii="Verdana" w:hAnsi="Verdana" w:cs="EUAlbertina"/>
          <w:color w:val="000000"/>
        </w:rPr>
      </w:pPr>
      <w:r w:rsidRPr="00172D73">
        <w:rPr>
          <w:rFonts w:ascii="Verdana" w:hAnsi="Verdana" w:cs="EUAlbertina"/>
          <w:color w:val="000000"/>
        </w:rPr>
        <w:t>3.   Le coordonnateur européen soutient les États membres dans la mise en œuvre du plan de travail, notamment en ce qui concerne</w:t>
      </w:r>
      <w:r>
        <w:rPr>
          <w:rFonts w:ascii="Verdana" w:hAnsi="Verdana" w:cs="EUAlbertina"/>
          <w:color w:val="000000"/>
        </w:rPr>
        <w:t xml:space="preserve"> </w:t>
      </w:r>
      <w:r w:rsidRPr="00172D73">
        <w:rPr>
          <w:rFonts w:ascii="Verdana" w:hAnsi="Verdana" w:cs="EUAlbertina"/>
          <w:color w:val="000000"/>
        </w:rPr>
        <w:t>:</w:t>
      </w:r>
    </w:p>
    <w:p w14:paraId="0D9B9AF4" w14:textId="0F68EE2F" w:rsidR="00172D73" w:rsidRPr="00172D73" w:rsidRDefault="00172D73" w:rsidP="00172D73">
      <w:pPr>
        <w:pStyle w:val="Paragrafoelenco"/>
        <w:numPr>
          <w:ilvl w:val="0"/>
          <w:numId w:val="1"/>
        </w:numPr>
        <w:spacing w:after="60" w:line="240" w:lineRule="auto"/>
        <w:ind w:left="357" w:hanging="357"/>
        <w:contextualSpacing w:val="0"/>
        <w:jc w:val="both"/>
        <w:rPr>
          <w:rFonts w:ascii="Verdana" w:hAnsi="Verdana" w:cs="EUAlbertina"/>
          <w:color w:val="000000"/>
        </w:rPr>
      </w:pPr>
      <w:proofErr w:type="gramStart"/>
      <w:r w:rsidRPr="00172D73">
        <w:rPr>
          <w:rFonts w:ascii="Verdana" w:hAnsi="Verdana" w:cs="EUAlbertina"/>
          <w:color w:val="000000"/>
        </w:rPr>
        <w:t>la</w:t>
      </w:r>
      <w:proofErr w:type="gramEnd"/>
      <w:r>
        <w:rPr>
          <w:rFonts w:ascii="Verdana" w:hAnsi="Verdana" w:cs="EUAlbertina"/>
          <w:color w:val="000000"/>
        </w:rPr>
        <w:t xml:space="preserve"> </w:t>
      </w:r>
      <w:r w:rsidRPr="00172D73">
        <w:rPr>
          <w:rFonts w:ascii="Verdana" w:hAnsi="Verdana" w:cs="EUAlbertina"/>
          <w:color w:val="000000"/>
        </w:rPr>
        <w:t>planification des investissements, les coûts et les délais de mise en œuvre y afférents estimés nécessaires pour mettre en œuvre les corridors de réseau central;</w:t>
      </w:r>
    </w:p>
    <w:p w14:paraId="23BB6404" w14:textId="7FB65B5A" w:rsidR="00172D73" w:rsidRPr="00172D73" w:rsidRDefault="00172D73" w:rsidP="00172D73">
      <w:pPr>
        <w:spacing w:after="60" w:line="240" w:lineRule="auto"/>
        <w:jc w:val="both"/>
        <w:rPr>
          <w:rFonts w:ascii="Verdana" w:hAnsi="Verdana"/>
        </w:rPr>
      </w:pPr>
      <w:r w:rsidRPr="00172D73">
        <w:rPr>
          <w:rFonts w:ascii="Verdana" w:hAnsi="Verdana" w:cs="EUAlbertina"/>
          <w:color w:val="000000"/>
        </w:rPr>
        <w:t>b)</w:t>
      </w:r>
      <w:r>
        <w:rPr>
          <w:rFonts w:ascii="Verdana" w:hAnsi="Verdana" w:cs="EUAlbertina"/>
          <w:color w:val="000000"/>
        </w:rPr>
        <w:t xml:space="preserve"> </w:t>
      </w:r>
      <w:r w:rsidRPr="00172D73">
        <w:rPr>
          <w:rFonts w:ascii="Verdana" w:hAnsi="Verdana" w:cs="EUAlbertina"/>
          <w:color w:val="000000"/>
        </w:rPr>
        <w:t>la définition des mesures visant à favoriser l'introduction de nouvelles technologies dans le domaine de la gestion du trafic et des capacités et, le cas échéant, à réduire les coûts externes, notamment les émissions de gaz à effet de serre et le bruit.</w:t>
      </w:r>
    </w:p>
    <w:sectPr w:rsidR="00172D73" w:rsidRPr="00172D73" w:rsidSect="00172D7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61A"/>
    <w:multiLevelType w:val="hybridMultilevel"/>
    <w:tmpl w:val="0C56C400"/>
    <w:lvl w:ilvl="0" w:tplc="4D9CCF8E">
      <w:start w:val="3"/>
      <w:numFmt w:val="bullet"/>
      <w:lvlText w:val="-"/>
      <w:lvlJc w:val="left"/>
      <w:pPr>
        <w:ind w:left="720" w:hanging="360"/>
      </w:pPr>
      <w:rPr>
        <w:rFonts w:ascii="Verdana" w:eastAsia="Times New Roman" w:hAnsi="Verdana"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96E4E"/>
    <w:multiLevelType w:val="hybridMultilevel"/>
    <w:tmpl w:val="07E06C56"/>
    <w:lvl w:ilvl="0" w:tplc="7E1C6884">
      <w:start w:val="3"/>
      <w:numFmt w:val="bullet"/>
      <w:lvlText w:val="-"/>
      <w:lvlJc w:val="left"/>
      <w:pPr>
        <w:ind w:left="720" w:hanging="360"/>
      </w:pPr>
      <w:rPr>
        <w:rFonts w:ascii="Verdana" w:eastAsia="Times New Roman" w:hAnsi="Verdana"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34223"/>
    <w:multiLevelType w:val="hybridMultilevel"/>
    <w:tmpl w:val="A734FD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D02488"/>
    <w:multiLevelType w:val="hybridMultilevel"/>
    <w:tmpl w:val="A7E8DF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467F85"/>
    <w:multiLevelType w:val="hybridMultilevel"/>
    <w:tmpl w:val="C94AAD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3C4655"/>
    <w:multiLevelType w:val="hybridMultilevel"/>
    <w:tmpl w:val="43E04B36"/>
    <w:lvl w:ilvl="0" w:tplc="5630C392">
      <w:start w:val="3"/>
      <w:numFmt w:val="bullet"/>
      <w:lvlText w:val="—"/>
      <w:lvlJc w:val="left"/>
      <w:pPr>
        <w:ind w:left="720" w:hanging="360"/>
      </w:pPr>
      <w:rPr>
        <w:rFonts w:ascii="Verdana" w:eastAsia="Times New Roman" w:hAnsi="Verdana" w:cs="EUAlberti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5599998">
    <w:abstractNumId w:val="4"/>
  </w:num>
  <w:num w:numId="2" w16cid:durableId="2055229309">
    <w:abstractNumId w:val="5"/>
  </w:num>
  <w:num w:numId="3" w16cid:durableId="134757578">
    <w:abstractNumId w:val="1"/>
  </w:num>
  <w:num w:numId="4" w16cid:durableId="94987041">
    <w:abstractNumId w:val="0"/>
  </w:num>
  <w:num w:numId="5" w16cid:durableId="1218588653">
    <w:abstractNumId w:val="3"/>
  </w:num>
  <w:num w:numId="6" w16cid:durableId="816188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96AA9"/>
    <w:rsid w:val="00014911"/>
    <w:rsid w:val="000A248E"/>
    <w:rsid w:val="00172D73"/>
    <w:rsid w:val="002223E3"/>
    <w:rsid w:val="002956FA"/>
    <w:rsid w:val="00363887"/>
    <w:rsid w:val="005C627F"/>
    <w:rsid w:val="006015E2"/>
    <w:rsid w:val="006B76F1"/>
    <w:rsid w:val="00700E64"/>
    <w:rsid w:val="008465CE"/>
    <w:rsid w:val="00A96AA9"/>
    <w:rsid w:val="00BD2E38"/>
    <w:rsid w:val="00C77338"/>
    <w:rsid w:val="00D1026E"/>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6000"/>
  <w15:docId w15:val="{EA1FE280-DDD6-43DD-A14B-113793CF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uiPriority w:val="99"/>
    <w:rsid w:val="00A96AA9"/>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A96AA9"/>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A96AA9"/>
    <w:pPr>
      <w:autoSpaceDE w:val="0"/>
      <w:autoSpaceDN w:val="0"/>
      <w:adjustRightInd w:val="0"/>
      <w:spacing w:after="0" w:line="240" w:lineRule="auto"/>
    </w:pPr>
    <w:rPr>
      <w:rFonts w:ascii="EUAlbertina" w:hAnsi="EUAlbertina"/>
      <w:sz w:val="24"/>
      <w:szCs w:val="24"/>
    </w:rPr>
  </w:style>
  <w:style w:type="paragraph" w:customStyle="1" w:styleId="Default">
    <w:name w:val="Default"/>
    <w:rsid w:val="00A96AA9"/>
    <w:pPr>
      <w:autoSpaceDE w:val="0"/>
      <w:autoSpaceDN w:val="0"/>
      <w:adjustRightInd w:val="0"/>
      <w:spacing w:after="0" w:line="240" w:lineRule="auto"/>
    </w:pPr>
    <w:rPr>
      <w:rFonts w:ascii="EUAlbertina" w:hAnsi="EUAlbertina" w:cs="EUAlbertina"/>
      <w:color w:val="000000"/>
      <w:sz w:val="24"/>
      <w:szCs w:val="24"/>
    </w:rPr>
  </w:style>
  <w:style w:type="paragraph" w:styleId="Paragrafoelenco">
    <w:name w:val="List Paragraph"/>
    <w:basedOn w:val="Normale"/>
    <w:uiPriority w:val="34"/>
    <w:qFormat/>
    <w:rsid w:val="00172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59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2EE9-C7BB-4817-A9EE-6799C6BF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1264</Words>
  <Characters>6955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2</cp:revision>
  <dcterms:created xsi:type="dcterms:W3CDTF">2023-02-15T14:10:00Z</dcterms:created>
  <dcterms:modified xsi:type="dcterms:W3CDTF">2023-02-15T22:32:00Z</dcterms:modified>
</cp:coreProperties>
</file>