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E4394" w14:textId="00FFE1D8" w:rsidR="002956FA" w:rsidRDefault="007B326F">
      <w:r>
        <w:fldChar w:fldCharType="begin"/>
      </w:r>
      <w:r>
        <w:instrText xml:space="preserve"> HYPERLINK "</w:instrText>
      </w:r>
      <w:r w:rsidRPr="007B326F">
        <w:instrText>https://cinea.ec.europa.eu/news-events/news/lyon-turin-rail-link-invests-more-eu3-billion-2021-07-07_en</w:instrText>
      </w:r>
      <w:r>
        <w:instrText xml:space="preserve">" </w:instrText>
      </w:r>
      <w:r>
        <w:fldChar w:fldCharType="separate"/>
      </w:r>
      <w:r w:rsidRPr="00086A7C">
        <w:rPr>
          <w:rStyle w:val="Collegamentoipertestuale"/>
        </w:rPr>
        <w:t>https://cinea.ec.europa.eu/news-events/news/lyon-turin-rail-link-invests-more-eu3-billion-2021-07-07_en</w:t>
      </w:r>
      <w:r>
        <w:fldChar w:fldCharType="end"/>
      </w:r>
    </w:p>
    <w:p w14:paraId="65F71E28" w14:textId="07A5BEB8" w:rsidR="007B326F" w:rsidRPr="007B326F" w:rsidRDefault="007B326F" w:rsidP="007B326F">
      <w:pPr>
        <w:spacing w:after="0" w:line="240" w:lineRule="auto"/>
        <w:rPr>
          <w:rFonts w:ascii="Times New Roman"/>
          <w:sz w:val="24"/>
          <w:szCs w:val="24"/>
          <w:lang w:val="en-GB"/>
        </w:rPr>
      </w:pPr>
      <w:r w:rsidRPr="007B326F">
        <w:rPr>
          <w:rFonts w:ascii="Times New Roman"/>
          <w:sz w:val="24"/>
          <w:szCs w:val="24"/>
          <w:lang w:val="en-GB"/>
        </w:rPr>
        <w:t>News article</w:t>
      </w:r>
      <w:r w:rsidR="00191014">
        <w:rPr>
          <w:rFonts w:ascii="Times New Roman"/>
          <w:sz w:val="24"/>
          <w:szCs w:val="24"/>
          <w:lang w:val="en-GB"/>
        </w:rPr>
        <w:t xml:space="preserve"> </w:t>
      </w:r>
      <w:r w:rsidRPr="007B326F">
        <w:rPr>
          <w:rFonts w:ascii="Times New Roman"/>
          <w:sz w:val="24"/>
          <w:szCs w:val="24"/>
          <w:lang w:val="en-GB"/>
        </w:rPr>
        <w:t>7 July 2021</w:t>
      </w:r>
    </w:p>
    <w:p w14:paraId="544CD167" w14:textId="77777777" w:rsidR="007B326F" w:rsidRPr="007B326F" w:rsidRDefault="007B326F" w:rsidP="007B326F">
      <w:pPr>
        <w:spacing w:before="100" w:beforeAutospacing="1" w:after="100" w:afterAutospacing="1" w:line="240" w:lineRule="auto"/>
        <w:outlineLvl w:val="0"/>
        <w:rPr>
          <w:rFonts w:ascii="Times New Roman"/>
          <w:b/>
          <w:bCs/>
          <w:kern w:val="36"/>
          <w:sz w:val="48"/>
          <w:szCs w:val="48"/>
          <w:lang w:val="en-GB"/>
        </w:rPr>
      </w:pPr>
      <w:r w:rsidRPr="007B326F">
        <w:rPr>
          <w:rFonts w:ascii="Times New Roman"/>
          <w:b/>
          <w:bCs/>
          <w:kern w:val="36"/>
          <w:sz w:val="48"/>
          <w:szCs w:val="48"/>
          <w:lang w:val="en-GB"/>
        </w:rPr>
        <w:t>Lyon-Turin rail link invests more than €3 billion</w:t>
      </w:r>
    </w:p>
    <w:p w14:paraId="220A3356" w14:textId="77777777" w:rsidR="007B326F" w:rsidRPr="007B326F" w:rsidRDefault="007B326F" w:rsidP="007B326F">
      <w:pPr>
        <w:spacing w:after="0" w:line="240" w:lineRule="auto"/>
        <w:rPr>
          <w:rFonts w:ascii="Times New Roman"/>
          <w:sz w:val="24"/>
          <w:szCs w:val="24"/>
        </w:rPr>
      </w:pPr>
      <w:r w:rsidRPr="007B326F">
        <w:rPr>
          <w:rFonts w:ascii="Times New Roman"/>
          <w:noProof/>
          <w:sz w:val="24"/>
          <w:szCs w:val="24"/>
        </w:rPr>
        <w:drawing>
          <wp:inline distT="0" distB="0" distL="0" distR="0" wp14:anchorId="524340AD" wp14:editId="318CEA67">
            <wp:extent cx="4730750" cy="2662836"/>
            <wp:effectExtent l="0" t="0" r="0" b="4445"/>
            <wp:docPr id="1" name="Immagine 1" descr="Lyon-Turin rai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on-Turin rail lin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51279" cy="2674391"/>
                    </a:xfrm>
                    <a:prstGeom prst="rect">
                      <a:avLst/>
                    </a:prstGeom>
                    <a:noFill/>
                    <a:ln>
                      <a:noFill/>
                    </a:ln>
                  </pic:spPr>
                </pic:pic>
              </a:graphicData>
            </a:graphic>
          </wp:inline>
        </w:drawing>
      </w:r>
    </w:p>
    <w:p w14:paraId="7C6038B0" w14:textId="77777777" w:rsidR="007B326F" w:rsidRPr="007B326F" w:rsidRDefault="007B326F" w:rsidP="007B326F">
      <w:pPr>
        <w:spacing w:after="0" w:line="240" w:lineRule="auto"/>
        <w:rPr>
          <w:rFonts w:ascii="Times New Roman"/>
          <w:sz w:val="24"/>
          <w:szCs w:val="24"/>
          <w:lang w:val="en-GB"/>
        </w:rPr>
      </w:pPr>
      <w:r w:rsidRPr="007B326F">
        <w:rPr>
          <w:rFonts w:ascii="Times New Roman"/>
          <w:sz w:val="24"/>
          <w:szCs w:val="24"/>
          <w:lang w:val="en-GB"/>
        </w:rPr>
        <w:t>Lyon-Turin rail link</w:t>
      </w:r>
    </w:p>
    <w:p w14:paraId="126BBEF6" w14:textId="77777777" w:rsidR="007B326F" w:rsidRPr="007B326F" w:rsidRDefault="007B326F" w:rsidP="007B326F">
      <w:pPr>
        <w:spacing w:after="0" w:line="240" w:lineRule="auto"/>
        <w:rPr>
          <w:rFonts w:ascii="Times New Roman"/>
          <w:sz w:val="24"/>
          <w:szCs w:val="24"/>
          <w:lang w:val="en-GB"/>
        </w:rPr>
      </w:pPr>
      <w:r w:rsidRPr="007B326F">
        <w:rPr>
          <w:rFonts w:ascii="Times New Roman"/>
          <w:sz w:val="24"/>
          <w:szCs w:val="24"/>
          <w:lang w:val="en-GB"/>
        </w:rPr>
        <w:t>CINEA</w:t>
      </w:r>
    </w:p>
    <w:p w14:paraId="4A89A321"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t>The Lyon-Turin railway link is a cross-border railway connection between France and Italy with at its centrepiece an underground railway tunnel under the Alps. It is the main missing link along the TEN-T Mediterranean Corridor, which connects south-western Europe with central and eastern European countries.</w:t>
      </w:r>
    </w:p>
    <w:p w14:paraId="1D4418EF"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t>Today, the board of directors of the body entrusted with building the cross border section of this railway connection (</w:t>
      </w:r>
      <w:hyperlink r:id="rId5" w:history="1">
        <w:r w:rsidRPr="007B326F">
          <w:rPr>
            <w:rFonts w:ascii="Times New Roman"/>
            <w:color w:val="0000FF"/>
            <w:sz w:val="24"/>
            <w:szCs w:val="24"/>
            <w:u w:val="single"/>
            <w:lang w:val="en-GB"/>
          </w:rPr>
          <w:t xml:space="preserve">TELT - Tunnel Euralpin Lyon </w:t>
        </w:r>
        <w:proofErr w:type="spellStart"/>
        <w:r w:rsidRPr="007B326F">
          <w:rPr>
            <w:rFonts w:ascii="Times New Roman"/>
            <w:color w:val="0000FF"/>
            <w:sz w:val="24"/>
            <w:szCs w:val="24"/>
            <w:u w:val="single"/>
            <w:lang w:val="en-GB"/>
          </w:rPr>
          <w:t>Turin</w:t>
        </w:r>
      </w:hyperlink>
      <w:hyperlink r:id="rId6" w:anchor="modal" w:history="1">
        <w:r w:rsidRPr="007B326F">
          <w:rPr>
            <w:rFonts w:ascii="Times New Roman"/>
            <w:i/>
            <w:iCs/>
            <w:color w:val="0000FF"/>
            <w:sz w:val="24"/>
            <w:szCs w:val="24"/>
            <w:u w:val="single"/>
            <w:lang w:val="en-GB"/>
          </w:rPr>
          <w:t>EN</w:t>
        </w:r>
        <w:proofErr w:type="spellEnd"/>
        <w:r w:rsidRPr="007B326F">
          <w:rPr>
            <w:rFonts w:ascii="Times New Roman"/>
            <w:b/>
            <w:bCs/>
            <w:color w:val="0000FF"/>
            <w:sz w:val="24"/>
            <w:szCs w:val="24"/>
            <w:u w:val="single"/>
            <w:lang w:val="en-GB"/>
          </w:rPr>
          <w:t>•••</w:t>
        </w:r>
      </w:hyperlink>
      <w:r w:rsidRPr="007B326F">
        <w:rPr>
          <w:rFonts w:ascii="Times New Roman"/>
          <w:sz w:val="24"/>
          <w:szCs w:val="24"/>
          <w:lang w:val="en-GB"/>
        </w:rPr>
        <w:t>) has awarded  the major contracts to build the Lyon-Turin base tunnel in France.</w:t>
      </w:r>
    </w:p>
    <w:p w14:paraId="587D4A89"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t>Commissioner for Transport, Adina Vălean, said: "</w:t>
      </w:r>
      <w:r w:rsidRPr="007B326F">
        <w:rPr>
          <w:rFonts w:ascii="Times New Roman"/>
          <w:i/>
          <w:iCs/>
          <w:sz w:val="24"/>
          <w:szCs w:val="24"/>
          <w:lang w:val="en-GB"/>
        </w:rPr>
        <w:t>Today’s decision to award three contracts worth more than €3 billion is a significant step towards completing the Lyon-Turin rail connection. It will bridge a key missing link between France and Italy and help shift large volumes of cross-border traffic from road to rail. But it is more than a bi-national project, as it will become the nexus connecting the Iberian Peninsula to the Eastern part of the European Union. The Lyon-Turin rail connection is a long-awaited, well-thought-out, and highly emblematic European project, contributing to the objectives of the European Green Deal.</w:t>
      </w:r>
      <w:r w:rsidRPr="007B326F">
        <w:rPr>
          <w:rFonts w:ascii="Times New Roman"/>
          <w:sz w:val="24"/>
          <w:szCs w:val="24"/>
          <w:lang w:val="en-GB"/>
        </w:rPr>
        <w:t>"</w:t>
      </w:r>
    </w:p>
    <w:p w14:paraId="59A14F12"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t xml:space="preserve">The tender procedure, divided into 3 lots for a total of €3 billion, represents one of the largest single tenders in Europe during the last two years. The works are supported by the </w:t>
      </w:r>
      <w:hyperlink r:id="rId7" w:history="1">
        <w:r w:rsidRPr="007B326F">
          <w:rPr>
            <w:rFonts w:ascii="Times New Roman"/>
            <w:color w:val="0000FF"/>
            <w:sz w:val="24"/>
            <w:szCs w:val="24"/>
            <w:u w:val="single"/>
            <w:lang w:val="en-GB"/>
          </w:rPr>
          <w:t xml:space="preserve">Connecting Europe Facility (CEF) </w:t>
        </w:r>
        <w:proofErr w:type="spellStart"/>
        <w:r w:rsidRPr="007B326F">
          <w:rPr>
            <w:rFonts w:ascii="Times New Roman"/>
            <w:color w:val="0000FF"/>
            <w:sz w:val="24"/>
            <w:szCs w:val="24"/>
            <w:u w:val="single"/>
            <w:lang w:val="en-GB"/>
          </w:rPr>
          <w:t>Programme</w:t>
        </w:r>
      </w:hyperlink>
      <w:hyperlink r:id="rId8" w:anchor="modal" w:history="1">
        <w:r w:rsidRPr="007B326F">
          <w:rPr>
            <w:rFonts w:ascii="Times New Roman"/>
            <w:i/>
            <w:iCs/>
            <w:color w:val="0000FF"/>
            <w:sz w:val="24"/>
            <w:szCs w:val="24"/>
            <w:u w:val="single"/>
            <w:lang w:val="en-GB"/>
          </w:rPr>
          <w:t>EN</w:t>
        </w:r>
        <w:proofErr w:type="spellEnd"/>
        <w:r w:rsidRPr="007B326F">
          <w:rPr>
            <w:rFonts w:ascii="Times New Roman"/>
            <w:b/>
            <w:bCs/>
            <w:color w:val="0000FF"/>
            <w:sz w:val="24"/>
            <w:szCs w:val="24"/>
            <w:u w:val="single"/>
            <w:lang w:val="en-GB"/>
          </w:rPr>
          <w:t>•••</w:t>
        </w:r>
      </w:hyperlink>
      <w:r w:rsidRPr="007B326F">
        <w:rPr>
          <w:rFonts w:ascii="Times New Roman"/>
          <w:sz w:val="24"/>
          <w:szCs w:val="24"/>
          <w:lang w:val="en-GB"/>
        </w:rPr>
        <w:t xml:space="preserve"> of the European Union (up to 40% of the total costs) and the European Climate, Infrastructure and Environment Executive Agency (CINEA) will continue to monitor the project.</w:t>
      </w:r>
    </w:p>
    <w:p w14:paraId="1C63558F"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lastRenderedPageBreak/>
        <w:t xml:space="preserve">The tunnel will be excavated from four construction sites in France (Saint Jean de Maurienne, Saint-Martin-La-Porte, La Praz and Villarodin-Bourget/Modane). TELT will oversee the works under the supervision of national control bodies as well as CINEA to ensure full compliance with technical requirements and relevant legislation. The start of these works in 2021 is particularly symbolic in a year designated as the </w:t>
      </w:r>
      <w:hyperlink r:id="rId9" w:history="1">
        <w:r w:rsidRPr="007B326F">
          <w:rPr>
            <w:rFonts w:ascii="Times New Roman"/>
            <w:color w:val="0000FF"/>
            <w:sz w:val="24"/>
            <w:szCs w:val="24"/>
            <w:u w:val="single"/>
            <w:lang w:val="en-GB"/>
          </w:rPr>
          <w:t xml:space="preserve">European Year of </w:t>
        </w:r>
        <w:proofErr w:type="spellStart"/>
        <w:r w:rsidRPr="007B326F">
          <w:rPr>
            <w:rFonts w:ascii="Times New Roman"/>
            <w:color w:val="0000FF"/>
            <w:sz w:val="24"/>
            <w:szCs w:val="24"/>
            <w:u w:val="single"/>
            <w:lang w:val="en-GB"/>
          </w:rPr>
          <w:t>Rail!</w:t>
        </w:r>
      </w:hyperlink>
      <w:hyperlink r:id="rId10" w:anchor="modal" w:history="1">
        <w:r w:rsidRPr="007B326F">
          <w:rPr>
            <w:rFonts w:ascii="Times New Roman"/>
            <w:i/>
            <w:iCs/>
            <w:color w:val="0000FF"/>
            <w:sz w:val="24"/>
            <w:szCs w:val="24"/>
            <w:u w:val="single"/>
            <w:lang w:val="en-GB"/>
          </w:rPr>
          <w:t>EN</w:t>
        </w:r>
        <w:proofErr w:type="spellEnd"/>
        <w:r w:rsidRPr="007B326F">
          <w:rPr>
            <w:rFonts w:ascii="Times New Roman"/>
            <w:b/>
            <w:bCs/>
            <w:color w:val="0000FF"/>
            <w:sz w:val="24"/>
            <w:szCs w:val="24"/>
            <w:u w:val="single"/>
            <w:lang w:val="en-GB"/>
          </w:rPr>
          <w:t>•••</w:t>
        </w:r>
      </w:hyperlink>
    </w:p>
    <w:p w14:paraId="29D617A2" w14:textId="77777777" w:rsidR="007B326F" w:rsidRPr="007B326F" w:rsidRDefault="007B326F" w:rsidP="007B326F">
      <w:pPr>
        <w:spacing w:before="100" w:beforeAutospacing="1" w:after="100" w:afterAutospacing="1" w:line="240" w:lineRule="auto"/>
        <w:rPr>
          <w:rFonts w:ascii="Times New Roman"/>
          <w:sz w:val="24"/>
          <w:szCs w:val="24"/>
          <w:lang w:val="en-GB"/>
        </w:rPr>
      </w:pPr>
      <w:r w:rsidRPr="007B326F">
        <w:rPr>
          <w:rFonts w:ascii="Times New Roman"/>
          <w:sz w:val="24"/>
          <w:szCs w:val="24"/>
          <w:lang w:val="en-GB"/>
        </w:rPr>
        <w:t>The Lyon-Turin railway tunnel will contribute to shift passengers and freight from road to rail, reduce congestion and transport costs, improve safety and lower emissions, in line with the European Green Deal. Once operational, the tunnel will allow the optimal functioning of the whole Mediterranean Corridor. </w:t>
      </w:r>
    </w:p>
    <w:p w14:paraId="15555CAC" w14:textId="378BB5A7" w:rsidR="007B326F" w:rsidRPr="007B326F" w:rsidRDefault="007B326F" w:rsidP="007B326F">
      <w:pPr>
        <w:spacing w:before="100" w:beforeAutospacing="1" w:after="100" w:afterAutospacing="1" w:line="240" w:lineRule="auto"/>
        <w:outlineLvl w:val="2"/>
        <w:rPr>
          <w:rFonts w:ascii="Times New Roman"/>
          <w:b/>
          <w:bCs/>
          <w:sz w:val="27"/>
          <w:szCs w:val="27"/>
        </w:rPr>
      </w:pPr>
      <w:r w:rsidRPr="007B326F">
        <w:rPr>
          <w:rFonts w:ascii="Times New Roman"/>
          <w:b/>
          <w:bCs/>
          <w:sz w:val="27"/>
          <w:szCs w:val="27"/>
        </w:rPr>
        <w:t>Relevant links</w:t>
      </w:r>
    </w:p>
    <w:p w14:paraId="06D0FC84" w14:textId="77777777" w:rsidR="007B326F" w:rsidRPr="007B326F" w:rsidRDefault="007B326F" w:rsidP="007B326F">
      <w:pPr>
        <w:spacing w:before="100" w:beforeAutospacing="1" w:after="100" w:afterAutospacing="1" w:line="240" w:lineRule="auto"/>
        <w:rPr>
          <w:rFonts w:ascii="Times New Roman"/>
          <w:sz w:val="24"/>
          <w:szCs w:val="24"/>
        </w:rPr>
      </w:pPr>
      <w:hyperlink r:id="rId11" w:history="1">
        <w:r w:rsidRPr="007B326F">
          <w:rPr>
            <w:rFonts w:ascii="Times New Roman"/>
            <w:color w:val="0000FF"/>
            <w:sz w:val="24"/>
            <w:szCs w:val="24"/>
            <w:u w:val="single"/>
          </w:rPr>
          <w:t xml:space="preserve">Lyon-Turin </w:t>
        </w:r>
        <w:proofErr w:type="spellStart"/>
        <w:r w:rsidRPr="007B326F">
          <w:rPr>
            <w:rFonts w:ascii="Times New Roman"/>
            <w:color w:val="0000FF"/>
            <w:sz w:val="24"/>
            <w:szCs w:val="24"/>
            <w:u w:val="single"/>
          </w:rPr>
          <w:t>pro</w:t>
        </w:r>
        <w:r w:rsidRPr="007B326F">
          <w:rPr>
            <w:rFonts w:ascii="Times New Roman"/>
            <w:color w:val="0000FF"/>
            <w:sz w:val="24"/>
            <w:szCs w:val="24"/>
            <w:u w:val="single"/>
          </w:rPr>
          <w:t>ject</w:t>
        </w:r>
        <w:proofErr w:type="spellEnd"/>
        <w:r w:rsidRPr="007B326F">
          <w:rPr>
            <w:rFonts w:ascii="Times New Roman"/>
            <w:color w:val="0000FF"/>
            <w:sz w:val="24"/>
            <w:szCs w:val="24"/>
            <w:u w:val="single"/>
          </w:rPr>
          <w:t xml:space="preserve"> information </w:t>
        </w:r>
      </w:hyperlink>
      <w:hyperlink r:id="rId12" w:anchor="modal" w:history="1">
        <w:r w:rsidRPr="007B326F">
          <w:rPr>
            <w:rFonts w:ascii="Times New Roman"/>
            <w:i/>
            <w:iCs/>
            <w:color w:val="0000FF"/>
            <w:sz w:val="24"/>
            <w:szCs w:val="24"/>
            <w:u w:val="single"/>
          </w:rPr>
          <w:t>EN</w:t>
        </w:r>
        <w:r w:rsidRPr="007B326F">
          <w:rPr>
            <w:rFonts w:ascii="Times New Roman"/>
            <w:b/>
            <w:bCs/>
            <w:color w:val="0000FF"/>
            <w:sz w:val="24"/>
            <w:szCs w:val="24"/>
            <w:u w:val="single"/>
          </w:rPr>
          <w:t>•••</w:t>
        </w:r>
      </w:hyperlink>
    </w:p>
    <w:p w14:paraId="1A74191D" w14:textId="77777777" w:rsidR="007B326F" w:rsidRPr="007B326F" w:rsidRDefault="007B326F" w:rsidP="007B326F">
      <w:pPr>
        <w:spacing w:before="100" w:beforeAutospacing="1" w:after="100" w:afterAutospacing="1" w:line="240" w:lineRule="auto"/>
        <w:outlineLvl w:val="1"/>
        <w:rPr>
          <w:rFonts w:ascii="Times New Roman"/>
          <w:b/>
          <w:bCs/>
          <w:sz w:val="36"/>
          <w:szCs w:val="36"/>
        </w:rPr>
      </w:pPr>
      <w:r w:rsidRPr="007B326F">
        <w:rPr>
          <w:rFonts w:ascii="Times New Roman"/>
          <w:b/>
          <w:bCs/>
          <w:sz w:val="36"/>
          <w:szCs w:val="36"/>
        </w:rPr>
        <w:t>Details</w:t>
      </w:r>
    </w:p>
    <w:p w14:paraId="60F8475A" w14:textId="0AD6C5B1" w:rsidR="007B326F" w:rsidRDefault="007B326F" w:rsidP="007B326F">
      <w:pPr>
        <w:spacing w:after="0" w:line="240" w:lineRule="auto"/>
      </w:pPr>
      <w:r w:rsidRPr="007B326F">
        <w:rPr>
          <w:rFonts w:ascii="Times New Roman"/>
          <w:sz w:val="24"/>
          <w:szCs w:val="24"/>
        </w:rPr>
        <w:t>Publication date</w:t>
      </w:r>
      <w:r>
        <w:rPr>
          <w:rFonts w:ascii="Times New Roman"/>
          <w:sz w:val="24"/>
          <w:szCs w:val="24"/>
        </w:rPr>
        <w:t xml:space="preserve"> </w:t>
      </w:r>
      <w:r w:rsidRPr="007B326F">
        <w:rPr>
          <w:rFonts w:ascii="Times New Roman"/>
          <w:sz w:val="24"/>
          <w:szCs w:val="24"/>
        </w:rPr>
        <w:t>7 July 2021</w:t>
      </w:r>
    </w:p>
    <w:sectPr w:rsidR="007B326F" w:rsidSect="00C773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F"/>
    <w:rsid w:val="00191014"/>
    <w:rsid w:val="002956FA"/>
    <w:rsid w:val="007B326F"/>
    <w:rsid w:val="00C77338"/>
  </w:rsids>
  <m:mathPr>
    <m:mathFont m:val="Cambria Math"/>
    <m:brkBin m:val="before"/>
    <m:brkBinSub m:val="--"/>
    <m:smallFrac m:val="0"/>
    <m:dispDef/>
    <m:lMargin m:val="0"/>
    <m:rMargin m:val="0"/>
    <m:defJc m:val="centerGroup"/>
    <m:wrapIndent m:val="1440"/>
    <m:intLim m:val="subSup"/>
    <m:naryLim m:val="undOvr"/>
  </m:mathPr>
  <w:themeFontLang w:val="it-IT"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245B1"/>
  <w15:chartTrackingRefBased/>
  <w15:docId w15:val="{B3C0C941-DE4A-4A3A-87B0-2FC3923D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326F"/>
    <w:rPr>
      <w:color w:val="0563C1" w:themeColor="hyperlink"/>
      <w:u w:val="single"/>
    </w:rPr>
  </w:style>
  <w:style w:type="character" w:styleId="Menzionenonrisolta">
    <w:name w:val="Unresolved Mention"/>
    <w:basedOn w:val="Carpredefinitoparagrafo"/>
    <w:uiPriority w:val="99"/>
    <w:semiHidden/>
    <w:unhideWhenUsed/>
    <w:rsid w:val="007B3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24753">
      <w:bodyDiv w:val="1"/>
      <w:marLeft w:val="0"/>
      <w:marRight w:val="0"/>
      <w:marTop w:val="0"/>
      <w:marBottom w:val="0"/>
      <w:divBdr>
        <w:top w:val="none" w:sz="0" w:space="0" w:color="auto"/>
        <w:left w:val="none" w:sz="0" w:space="0" w:color="auto"/>
        <w:bottom w:val="none" w:sz="0" w:space="0" w:color="auto"/>
        <w:right w:val="none" w:sz="0" w:space="0" w:color="auto"/>
      </w:divBdr>
      <w:divsChild>
        <w:div w:id="1845707749">
          <w:marLeft w:val="0"/>
          <w:marRight w:val="0"/>
          <w:marTop w:val="0"/>
          <w:marBottom w:val="0"/>
          <w:divBdr>
            <w:top w:val="none" w:sz="0" w:space="0" w:color="auto"/>
            <w:left w:val="none" w:sz="0" w:space="0" w:color="auto"/>
            <w:bottom w:val="none" w:sz="0" w:space="0" w:color="auto"/>
            <w:right w:val="none" w:sz="0" w:space="0" w:color="auto"/>
          </w:divBdr>
          <w:divsChild>
            <w:div w:id="1048071306">
              <w:marLeft w:val="0"/>
              <w:marRight w:val="0"/>
              <w:marTop w:val="0"/>
              <w:marBottom w:val="0"/>
              <w:divBdr>
                <w:top w:val="none" w:sz="0" w:space="0" w:color="auto"/>
                <w:left w:val="none" w:sz="0" w:space="0" w:color="auto"/>
                <w:bottom w:val="none" w:sz="0" w:space="0" w:color="auto"/>
                <w:right w:val="none" w:sz="0" w:space="0" w:color="auto"/>
              </w:divBdr>
              <w:divsChild>
                <w:div w:id="528760828">
                  <w:marLeft w:val="0"/>
                  <w:marRight w:val="0"/>
                  <w:marTop w:val="0"/>
                  <w:marBottom w:val="0"/>
                  <w:divBdr>
                    <w:top w:val="none" w:sz="0" w:space="0" w:color="auto"/>
                    <w:left w:val="none" w:sz="0" w:space="0" w:color="auto"/>
                    <w:bottom w:val="none" w:sz="0" w:space="0" w:color="auto"/>
                    <w:right w:val="none" w:sz="0" w:space="0" w:color="auto"/>
                  </w:divBdr>
                  <w:divsChild>
                    <w:div w:id="452676591">
                      <w:marLeft w:val="0"/>
                      <w:marRight w:val="0"/>
                      <w:marTop w:val="0"/>
                      <w:marBottom w:val="0"/>
                      <w:divBdr>
                        <w:top w:val="none" w:sz="0" w:space="0" w:color="auto"/>
                        <w:left w:val="none" w:sz="0" w:space="0" w:color="auto"/>
                        <w:bottom w:val="none" w:sz="0" w:space="0" w:color="auto"/>
                        <w:right w:val="none" w:sz="0" w:space="0" w:color="auto"/>
                      </w:divBdr>
                    </w:div>
                    <w:div w:id="64756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5356">
          <w:marLeft w:val="0"/>
          <w:marRight w:val="0"/>
          <w:marTop w:val="0"/>
          <w:marBottom w:val="0"/>
          <w:divBdr>
            <w:top w:val="none" w:sz="0" w:space="0" w:color="auto"/>
            <w:left w:val="none" w:sz="0" w:space="0" w:color="auto"/>
            <w:bottom w:val="none" w:sz="0" w:space="0" w:color="auto"/>
            <w:right w:val="none" w:sz="0" w:space="0" w:color="auto"/>
          </w:divBdr>
          <w:divsChild>
            <w:div w:id="742724830">
              <w:marLeft w:val="0"/>
              <w:marRight w:val="0"/>
              <w:marTop w:val="0"/>
              <w:marBottom w:val="0"/>
              <w:divBdr>
                <w:top w:val="none" w:sz="0" w:space="0" w:color="auto"/>
                <w:left w:val="none" w:sz="0" w:space="0" w:color="auto"/>
                <w:bottom w:val="none" w:sz="0" w:space="0" w:color="auto"/>
                <w:right w:val="none" w:sz="0" w:space="0" w:color="auto"/>
              </w:divBdr>
              <w:divsChild>
                <w:div w:id="976956220">
                  <w:marLeft w:val="0"/>
                  <w:marRight w:val="0"/>
                  <w:marTop w:val="0"/>
                  <w:marBottom w:val="0"/>
                  <w:divBdr>
                    <w:top w:val="none" w:sz="0" w:space="0" w:color="auto"/>
                    <w:left w:val="none" w:sz="0" w:space="0" w:color="auto"/>
                    <w:bottom w:val="none" w:sz="0" w:space="0" w:color="auto"/>
                    <w:right w:val="none" w:sz="0" w:space="0" w:color="auto"/>
                  </w:divBdr>
                  <w:divsChild>
                    <w:div w:id="485976533">
                      <w:marLeft w:val="0"/>
                      <w:marRight w:val="0"/>
                      <w:marTop w:val="0"/>
                      <w:marBottom w:val="0"/>
                      <w:divBdr>
                        <w:top w:val="none" w:sz="0" w:space="0" w:color="auto"/>
                        <w:left w:val="none" w:sz="0" w:space="0" w:color="auto"/>
                        <w:bottom w:val="none" w:sz="0" w:space="0" w:color="auto"/>
                        <w:right w:val="none" w:sz="0" w:space="0" w:color="auto"/>
                      </w:divBdr>
                      <w:divsChild>
                        <w:div w:id="1063215705">
                          <w:marLeft w:val="0"/>
                          <w:marRight w:val="0"/>
                          <w:marTop w:val="0"/>
                          <w:marBottom w:val="0"/>
                          <w:divBdr>
                            <w:top w:val="none" w:sz="0" w:space="0" w:color="auto"/>
                            <w:left w:val="none" w:sz="0" w:space="0" w:color="auto"/>
                            <w:bottom w:val="none" w:sz="0" w:space="0" w:color="auto"/>
                            <w:right w:val="none" w:sz="0" w:space="0" w:color="auto"/>
                          </w:divBdr>
                          <w:divsChild>
                            <w:div w:id="1160851650">
                              <w:marLeft w:val="0"/>
                              <w:marRight w:val="0"/>
                              <w:marTop w:val="0"/>
                              <w:marBottom w:val="0"/>
                              <w:divBdr>
                                <w:top w:val="none" w:sz="0" w:space="0" w:color="auto"/>
                                <w:left w:val="none" w:sz="0" w:space="0" w:color="auto"/>
                                <w:bottom w:val="none" w:sz="0" w:space="0" w:color="auto"/>
                                <w:right w:val="none" w:sz="0" w:space="0" w:color="auto"/>
                              </w:divBdr>
                              <w:divsChild>
                                <w:div w:id="1124931015">
                                  <w:marLeft w:val="0"/>
                                  <w:marRight w:val="0"/>
                                  <w:marTop w:val="0"/>
                                  <w:marBottom w:val="0"/>
                                  <w:divBdr>
                                    <w:top w:val="none" w:sz="0" w:space="0" w:color="auto"/>
                                    <w:left w:val="none" w:sz="0" w:space="0" w:color="auto"/>
                                    <w:bottom w:val="none" w:sz="0" w:space="0" w:color="auto"/>
                                    <w:right w:val="none" w:sz="0" w:space="0" w:color="auto"/>
                                  </w:divBdr>
                                </w:div>
                                <w:div w:id="2054688717">
                                  <w:marLeft w:val="0"/>
                                  <w:marRight w:val="0"/>
                                  <w:marTop w:val="0"/>
                                  <w:marBottom w:val="0"/>
                                  <w:divBdr>
                                    <w:top w:val="none" w:sz="0" w:space="0" w:color="auto"/>
                                    <w:left w:val="none" w:sz="0" w:space="0" w:color="auto"/>
                                    <w:bottom w:val="none" w:sz="0" w:space="0" w:color="auto"/>
                                    <w:right w:val="none" w:sz="0" w:space="0" w:color="auto"/>
                                  </w:divBdr>
                                </w:div>
                              </w:divsChild>
                            </w:div>
                            <w:div w:id="596331016">
                              <w:marLeft w:val="0"/>
                              <w:marRight w:val="0"/>
                              <w:marTop w:val="0"/>
                              <w:marBottom w:val="0"/>
                              <w:divBdr>
                                <w:top w:val="none" w:sz="0" w:space="0" w:color="auto"/>
                                <w:left w:val="none" w:sz="0" w:space="0" w:color="auto"/>
                                <w:bottom w:val="none" w:sz="0" w:space="0" w:color="auto"/>
                                <w:right w:val="none" w:sz="0" w:space="0" w:color="auto"/>
                              </w:divBdr>
                            </w:div>
                            <w:div w:id="637539491">
                              <w:marLeft w:val="0"/>
                              <w:marRight w:val="0"/>
                              <w:marTop w:val="0"/>
                              <w:marBottom w:val="0"/>
                              <w:divBdr>
                                <w:top w:val="none" w:sz="0" w:space="0" w:color="auto"/>
                                <w:left w:val="none" w:sz="0" w:space="0" w:color="auto"/>
                                <w:bottom w:val="none" w:sz="0" w:space="0" w:color="auto"/>
                                <w:right w:val="none" w:sz="0" w:space="0" w:color="auto"/>
                              </w:divBdr>
                              <w:divsChild>
                                <w:div w:id="1638677586">
                                  <w:marLeft w:val="0"/>
                                  <w:marRight w:val="0"/>
                                  <w:marTop w:val="0"/>
                                  <w:marBottom w:val="0"/>
                                  <w:divBdr>
                                    <w:top w:val="none" w:sz="0" w:space="0" w:color="auto"/>
                                    <w:left w:val="none" w:sz="0" w:space="0" w:color="auto"/>
                                    <w:bottom w:val="none" w:sz="0" w:space="0" w:color="auto"/>
                                    <w:right w:val="none" w:sz="0" w:space="0" w:color="auto"/>
                                  </w:divBdr>
                                  <w:divsChild>
                                    <w:div w:id="633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ea.ec.europa.eu/news-events/news/lyon-turin-rail-link-invests-more-eu3-billion-2021-07-07_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inea.ec.europa.eu/programmes/connecting-europe-facility/about-connecting-europe-facility_en" TargetMode="External"/><Relationship Id="rId12" Type="http://schemas.openxmlformats.org/officeDocument/2006/relationships/hyperlink" Target="https://cinea.ec.europa.eu/news-events/news/lyon-turin-rail-link-invests-more-eu3-billion-2021-07-07_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nea.ec.europa.eu/news-events/news/lyon-turin-rail-link-invests-more-eu3-billion-2021-07-07_en" TargetMode="External"/><Relationship Id="rId11" Type="http://schemas.openxmlformats.org/officeDocument/2006/relationships/hyperlink" Target="https://ec.europa.eu/inea/en/connecting-europe-facility/cef-transport/2014-eu-tm-0401-m" TargetMode="External"/><Relationship Id="rId5" Type="http://schemas.openxmlformats.org/officeDocument/2006/relationships/hyperlink" Target="http://www.telt-sas.com/en/" TargetMode="External"/><Relationship Id="rId10" Type="http://schemas.openxmlformats.org/officeDocument/2006/relationships/hyperlink" Target="https://cinea.ec.europa.eu/news-events/news/lyon-turin-rail-link-invests-more-eu3-billion-2021-07-07_en" TargetMode="External"/><Relationship Id="rId4" Type="http://schemas.openxmlformats.org/officeDocument/2006/relationships/image" Target="media/image1.jpeg"/><Relationship Id="rId9" Type="http://schemas.openxmlformats.org/officeDocument/2006/relationships/hyperlink" Target="https://europa.eu/year-of-rail/index_en"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554</Words>
  <Characters>3053</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click@mayombe.eu</dc:creator>
  <cp:keywords/>
  <dc:description/>
  <cp:lastModifiedBy>click@mayombe.eu</cp:lastModifiedBy>
  <cp:revision>2</cp:revision>
  <dcterms:created xsi:type="dcterms:W3CDTF">2023-02-22T10:59:00Z</dcterms:created>
  <dcterms:modified xsi:type="dcterms:W3CDTF">2023-02-22T11:02:00Z</dcterms:modified>
</cp:coreProperties>
</file>