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3E7C3" w14:textId="77777777" w:rsidR="0074104C" w:rsidRDefault="00000000" w:rsidP="00D45A32">
      <w:pPr>
        <w:spacing w:after="120"/>
        <w:ind w:right="72"/>
        <w:jc w:val="right"/>
        <w:rPr>
          <w:rFonts w:ascii="Tahoma" w:hAnsi="Tahoma"/>
          <w:b/>
          <w:color w:val="000000"/>
          <w:sz w:val="18"/>
        </w:rPr>
      </w:pPr>
      <w:bookmarkStart w:id="0" w:name="_Hlk166835478"/>
      <w:r>
        <w:rPr>
          <w:rFonts w:ascii="Tahoma" w:hAnsi="Tahoma"/>
          <w:b/>
          <w:color w:val="000000"/>
          <w:sz w:val="18"/>
        </w:rPr>
        <w:t>Prot.n.1501.TELT_PEC_OUT.1022.DG.22</w:t>
      </w:r>
    </w:p>
    <w:p w14:paraId="589F06E5" w14:textId="77777777" w:rsidR="0074104C" w:rsidRPr="00656E53" w:rsidRDefault="00000000" w:rsidP="00D45A32">
      <w:pPr>
        <w:spacing w:after="120"/>
        <w:jc w:val="center"/>
        <w:rPr>
          <w:rFonts w:cstheme="minorHAnsi"/>
          <w:b/>
          <w:color w:val="000000"/>
          <w:spacing w:val="-4"/>
          <w:sz w:val="24"/>
          <w:szCs w:val="24"/>
        </w:rPr>
      </w:pPr>
      <w:r w:rsidRPr="00656E53">
        <w:rPr>
          <w:rFonts w:cstheme="minorHAnsi"/>
          <w:b/>
          <w:color w:val="000000"/>
          <w:spacing w:val="-4"/>
          <w:sz w:val="24"/>
          <w:szCs w:val="24"/>
        </w:rPr>
        <w:t>2014-EU-TM-0401-KA</w:t>
      </w:r>
      <w:r w:rsidRPr="00656E53">
        <w:rPr>
          <w:rFonts w:cstheme="minorHAnsi"/>
          <w:b/>
          <w:color w:val="000000"/>
          <w:spacing w:val="-4"/>
          <w:sz w:val="24"/>
          <w:szCs w:val="24"/>
        </w:rPr>
        <w:br/>
      </w:r>
      <w:r w:rsidRPr="00656E53">
        <w:rPr>
          <w:rFonts w:cstheme="minorHAnsi"/>
          <w:b/>
          <w:i/>
          <w:color w:val="000000"/>
          <w:spacing w:val="3"/>
          <w:sz w:val="24"/>
          <w:szCs w:val="24"/>
        </w:rPr>
        <w:t>"Cross Border Section of the New Lyon-Turin Roil Link Mont Cenis Bose Tunnel (TBM)"</w:t>
      </w:r>
      <w:r w:rsidRPr="00656E53">
        <w:rPr>
          <w:rFonts w:cstheme="minorHAnsi"/>
          <w:b/>
          <w:i/>
          <w:color w:val="000000"/>
          <w:spacing w:val="3"/>
          <w:sz w:val="24"/>
          <w:szCs w:val="24"/>
        </w:rPr>
        <w:br/>
      </w:r>
      <w:r w:rsidRPr="00656E53">
        <w:rPr>
          <w:rFonts w:cstheme="minorHAnsi"/>
          <w:b/>
          <w:color w:val="000000"/>
          <w:sz w:val="24"/>
          <w:szCs w:val="24"/>
          <w:u w:val="single"/>
        </w:rPr>
        <w:t xml:space="preserve">Amendment Project no. 2 </w:t>
      </w:r>
    </w:p>
    <w:p w14:paraId="67D85DF9" w14:textId="77777777" w:rsidR="0074104C" w:rsidRPr="00656E53" w:rsidRDefault="00000000" w:rsidP="00D45A32">
      <w:pPr>
        <w:spacing w:after="120"/>
        <w:jc w:val="center"/>
        <w:rPr>
          <w:rFonts w:cstheme="minorHAnsi"/>
          <w:i/>
          <w:color w:val="000000"/>
          <w:spacing w:val="4"/>
          <w:sz w:val="24"/>
          <w:szCs w:val="24"/>
        </w:rPr>
      </w:pPr>
      <w:r w:rsidRPr="00656E53">
        <w:rPr>
          <w:rFonts w:cstheme="minorHAnsi"/>
          <w:i/>
          <w:color w:val="000000"/>
          <w:spacing w:val="4"/>
          <w:sz w:val="24"/>
          <w:szCs w:val="24"/>
        </w:rPr>
        <w:t>(version 27.09.22)</w:t>
      </w:r>
    </w:p>
    <w:bookmarkEnd w:id="0"/>
    <w:p w14:paraId="59B6FE32" w14:textId="77777777" w:rsidR="00656E53" w:rsidRPr="00CE4146" w:rsidRDefault="00000000" w:rsidP="00656E53">
      <w:pPr>
        <w:spacing w:after="80"/>
        <w:rPr>
          <w:rFonts w:cstheme="minorHAnsi"/>
          <w:b/>
          <w:bCs/>
          <w:color w:val="000000"/>
          <w:sz w:val="24"/>
          <w:szCs w:val="24"/>
          <w:u w:val="single"/>
        </w:rPr>
      </w:pPr>
      <w:r w:rsidRPr="00CE4146">
        <w:rPr>
          <w:rFonts w:cstheme="minorHAnsi"/>
          <w:b/>
          <w:bCs/>
          <w:color w:val="000000"/>
          <w:sz w:val="24"/>
          <w:szCs w:val="24"/>
          <w:u w:val="single"/>
        </w:rPr>
        <w:t>Premise:</w:t>
      </w:r>
    </w:p>
    <w:p w14:paraId="1B8CA8F1" w14:textId="6454D67C" w:rsidR="0074104C" w:rsidRPr="00656E53" w:rsidRDefault="00656E53" w:rsidP="00656E53">
      <w:pPr>
        <w:spacing w:after="80"/>
        <w:rPr>
          <w:rFonts w:cstheme="minorHAnsi"/>
          <w:color w:val="000000"/>
          <w:sz w:val="24"/>
          <w:szCs w:val="24"/>
        </w:rPr>
      </w:pPr>
      <w:r>
        <w:rPr>
          <w:rFonts w:cstheme="minorHAnsi"/>
          <w:color w:val="000000"/>
          <w:sz w:val="24"/>
          <w:szCs w:val="24"/>
        </w:rPr>
        <w:t xml:space="preserve">The present </w:t>
      </w:r>
      <w:r w:rsidR="00000000" w:rsidRPr="00656E53">
        <w:rPr>
          <w:rFonts w:cstheme="minorHAnsi"/>
          <w:color w:val="000000"/>
          <w:sz w:val="24"/>
          <w:szCs w:val="24"/>
        </w:rPr>
        <w:t xml:space="preserve">note seeks to contribute to the debate under way by the States with the support of TELT </w:t>
      </w:r>
      <w:r w:rsidR="00000000" w:rsidRPr="00656E53">
        <w:rPr>
          <w:rFonts w:cstheme="minorHAnsi"/>
          <w:color w:val="000000"/>
          <w:spacing w:val="1"/>
          <w:sz w:val="24"/>
          <w:szCs w:val="24"/>
        </w:rPr>
        <w:t xml:space="preserve">concerning the definition of the current </w:t>
      </w:r>
      <w:r w:rsidR="00000000" w:rsidRPr="00656E53">
        <w:rPr>
          <w:rFonts w:cstheme="minorHAnsi"/>
          <w:b/>
          <w:color w:val="000000"/>
          <w:spacing w:val="1"/>
          <w:sz w:val="24"/>
          <w:szCs w:val="24"/>
        </w:rPr>
        <w:t>Amendment no. 2 to the Grant Agreement.</w:t>
      </w:r>
    </w:p>
    <w:p w14:paraId="7E39E636" w14:textId="41E1B0A6" w:rsidR="0074104C" w:rsidRPr="00656E53" w:rsidRDefault="00000000" w:rsidP="00656E53">
      <w:pPr>
        <w:spacing w:after="80"/>
        <w:ind w:right="792"/>
        <w:jc w:val="both"/>
        <w:rPr>
          <w:rFonts w:cstheme="minorHAnsi"/>
          <w:color w:val="000000"/>
          <w:spacing w:val="-1"/>
          <w:sz w:val="24"/>
          <w:szCs w:val="24"/>
        </w:rPr>
      </w:pPr>
      <w:r w:rsidRPr="00656E53">
        <w:rPr>
          <w:rFonts w:cstheme="minorHAnsi"/>
          <w:color w:val="000000"/>
          <w:spacing w:val="-1"/>
          <w:sz w:val="24"/>
          <w:szCs w:val="24"/>
        </w:rPr>
        <w:t xml:space="preserve">To recap, the Grant Agreement currently in force establishes a financial contribution by the European Union </w:t>
      </w:r>
      <w:r w:rsidRPr="00656E53">
        <w:rPr>
          <w:rFonts w:cstheme="minorHAnsi"/>
          <w:color w:val="000000"/>
          <w:spacing w:val="-2"/>
          <w:sz w:val="24"/>
          <w:szCs w:val="24"/>
        </w:rPr>
        <w:t xml:space="preserve">up to a maximum sum of EUR </w:t>
      </w:r>
      <w:r w:rsidRPr="00656E53">
        <w:rPr>
          <w:rFonts w:cstheme="minorHAnsi"/>
          <w:b/>
          <w:color w:val="000000"/>
          <w:spacing w:val="-2"/>
          <w:sz w:val="24"/>
          <w:szCs w:val="24"/>
        </w:rPr>
        <w:t xml:space="preserve">813,781,900 </w:t>
      </w:r>
      <w:r w:rsidRPr="00656E53">
        <w:rPr>
          <w:rFonts w:cstheme="minorHAnsi"/>
          <w:color w:val="000000"/>
          <w:spacing w:val="-2"/>
          <w:sz w:val="24"/>
          <w:szCs w:val="24"/>
        </w:rPr>
        <w:t>for the two beneficiaries, MIMS (</w:t>
      </w:r>
      <w:proofErr w:type="spellStart"/>
      <w:r w:rsidRPr="00656E53">
        <w:rPr>
          <w:rFonts w:cstheme="minorHAnsi"/>
          <w:color w:val="000000"/>
          <w:spacing w:val="-2"/>
          <w:sz w:val="24"/>
          <w:szCs w:val="24"/>
        </w:rPr>
        <w:t>Ministero</w:t>
      </w:r>
      <w:proofErr w:type="spellEnd"/>
      <w:r w:rsidRPr="00656E53">
        <w:rPr>
          <w:rFonts w:cstheme="minorHAnsi"/>
          <w:color w:val="000000"/>
          <w:spacing w:val="-2"/>
          <w:sz w:val="24"/>
          <w:szCs w:val="24"/>
        </w:rPr>
        <w:t xml:space="preserve"> </w:t>
      </w:r>
      <w:r w:rsidR="00D45A32" w:rsidRPr="00656E53">
        <w:rPr>
          <w:rFonts w:cstheme="minorHAnsi"/>
          <w:color w:val="000000"/>
          <w:spacing w:val="-2"/>
          <w:sz w:val="24"/>
          <w:szCs w:val="24"/>
        </w:rPr>
        <w:t>d</w:t>
      </w:r>
      <w:r w:rsidRPr="00656E53">
        <w:rPr>
          <w:rFonts w:cstheme="minorHAnsi"/>
          <w:color w:val="000000"/>
          <w:spacing w:val="-2"/>
          <w:sz w:val="24"/>
          <w:szCs w:val="24"/>
        </w:rPr>
        <w:t xml:space="preserve">elle </w:t>
      </w:r>
      <w:proofErr w:type="spellStart"/>
      <w:r w:rsidRPr="00656E53">
        <w:rPr>
          <w:rFonts w:cstheme="minorHAnsi"/>
          <w:color w:val="000000"/>
          <w:spacing w:val="-2"/>
          <w:sz w:val="24"/>
          <w:szCs w:val="24"/>
        </w:rPr>
        <w:t>Infrastrutture</w:t>
      </w:r>
      <w:proofErr w:type="spellEnd"/>
      <w:r w:rsidRPr="00656E53">
        <w:rPr>
          <w:rFonts w:cstheme="minorHAnsi"/>
          <w:color w:val="000000"/>
          <w:spacing w:val="-2"/>
          <w:sz w:val="24"/>
          <w:szCs w:val="24"/>
        </w:rPr>
        <w:t xml:space="preserve"> e </w:t>
      </w:r>
      <w:r w:rsidRPr="00656E53">
        <w:rPr>
          <w:rFonts w:cstheme="minorHAnsi"/>
          <w:color w:val="000000"/>
          <w:spacing w:val="2"/>
          <w:sz w:val="24"/>
          <w:szCs w:val="24"/>
        </w:rPr>
        <w:t>della Mobilit</w:t>
      </w:r>
      <w:r w:rsidR="00D45A32" w:rsidRPr="00656E53">
        <w:rPr>
          <w:rFonts w:cstheme="minorHAnsi"/>
          <w:color w:val="000000"/>
          <w:spacing w:val="2"/>
          <w:sz w:val="24"/>
          <w:szCs w:val="24"/>
        </w:rPr>
        <w:t xml:space="preserve">à </w:t>
      </w:r>
      <w:r w:rsidRPr="00656E53">
        <w:rPr>
          <w:rFonts w:cstheme="minorHAnsi"/>
          <w:color w:val="000000"/>
          <w:spacing w:val="2"/>
          <w:sz w:val="24"/>
          <w:szCs w:val="24"/>
        </w:rPr>
        <w:t>Sostenibile) and MTECT (</w:t>
      </w:r>
      <w:proofErr w:type="spellStart"/>
      <w:r w:rsidRPr="00656E53">
        <w:rPr>
          <w:rFonts w:cstheme="minorHAnsi"/>
          <w:color w:val="000000"/>
          <w:spacing w:val="2"/>
          <w:sz w:val="24"/>
          <w:szCs w:val="24"/>
        </w:rPr>
        <w:t>Minist</w:t>
      </w:r>
      <w:r w:rsidR="00D45A32" w:rsidRPr="00656E53">
        <w:rPr>
          <w:rFonts w:cstheme="minorHAnsi"/>
          <w:color w:val="000000"/>
          <w:spacing w:val="2"/>
          <w:sz w:val="24"/>
          <w:szCs w:val="24"/>
        </w:rPr>
        <w:t>è</w:t>
      </w:r>
      <w:r w:rsidRPr="00656E53">
        <w:rPr>
          <w:rFonts w:cstheme="minorHAnsi"/>
          <w:color w:val="000000"/>
          <w:spacing w:val="2"/>
          <w:sz w:val="24"/>
          <w:szCs w:val="24"/>
        </w:rPr>
        <w:t>re</w:t>
      </w:r>
      <w:proofErr w:type="spellEnd"/>
      <w:r w:rsidRPr="00656E53">
        <w:rPr>
          <w:rFonts w:cstheme="minorHAnsi"/>
          <w:color w:val="000000"/>
          <w:spacing w:val="2"/>
          <w:sz w:val="24"/>
          <w:szCs w:val="24"/>
        </w:rPr>
        <w:t xml:space="preserve"> de </w:t>
      </w:r>
      <w:r w:rsidR="00D45A32" w:rsidRPr="00656E53">
        <w:rPr>
          <w:rFonts w:cstheme="minorHAnsi"/>
          <w:color w:val="000000"/>
          <w:spacing w:val="2"/>
          <w:sz w:val="24"/>
          <w:szCs w:val="24"/>
        </w:rPr>
        <w:t>l</w:t>
      </w:r>
      <w:r w:rsidRPr="00656E53">
        <w:rPr>
          <w:rFonts w:cstheme="minorHAnsi"/>
          <w:color w:val="000000"/>
          <w:spacing w:val="2"/>
          <w:sz w:val="24"/>
          <w:szCs w:val="24"/>
        </w:rPr>
        <w:t xml:space="preserve">a Transition </w:t>
      </w:r>
      <w:proofErr w:type="spellStart"/>
      <w:r w:rsidRPr="00656E53">
        <w:rPr>
          <w:rFonts w:cstheme="minorHAnsi"/>
          <w:color w:val="000000"/>
          <w:spacing w:val="2"/>
          <w:sz w:val="24"/>
          <w:szCs w:val="24"/>
        </w:rPr>
        <w:t>ecologique</w:t>
      </w:r>
      <w:proofErr w:type="spellEnd"/>
      <w:r w:rsidRPr="00656E53">
        <w:rPr>
          <w:rFonts w:cstheme="minorHAnsi"/>
          <w:color w:val="000000"/>
          <w:spacing w:val="2"/>
          <w:sz w:val="24"/>
          <w:szCs w:val="24"/>
        </w:rPr>
        <w:t xml:space="preserve"> et de </w:t>
      </w:r>
      <w:proofErr w:type="spellStart"/>
      <w:r w:rsidRPr="00656E53">
        <w:rPr>
          <w:rFonts w:cstheme="minorHAnsi"/>
          <w:color w:val="000000"/>
          <w:spacing w:val="2"/>
          <w:sz w:val="24"/>
          <w:szCs w:val="24"/>
        </w:rPr>
        <w:t>Ia</w:t>
      </w:r>
      <w:proofErr w:type="spellEnd"/>
      <w:r w:rsidRPr="00656E53">
        <w:rPr>
          <w:rFonts w:cstheme="minorHAnsi"/>
          <w:color w:val="000000"/>
          <w:spacing w:val="2"/>
          <w:sz w:val="24"/>
          <w:szCs w:val="24"/>
        </w:rPr>
        <w:t xml:space="preserve"> Cohesion des </w:t>
      </w:r>
      <w:proofErr w:type="spellStart"/>
      <w:r w:rsidRPr="00656E53">
        <w:rPr>
          <w:rFonts w:cstheme="minorHAnsi"/>
          <w:color w:val="000000"/>
          <w:spacing w:val="-3"/>
          <w:sz w:val="24"/>
          <w:szCs w:val="24"/>
        </w:rPr>
        <w:t>territoires</w:t>
      </w:r>
      <w:proofErr w:type="spellEnd"/>
      <w:r w:rsidRPr="00656E53">
        <w:rPr>
          <w:rFonts w:cstheme="minorHAnsi"/>
          <w:color w:val="000000"/>
          <w:spacing w:val="-3"/>
          <w:sz w:val="24"/>
          <w:szCs w:val="24"/>
        </w:rPr>
        <w:t xml:space="preserve">), for the "Cross Border Section of the New Lyon-Turin Rail Link Mont Cenis Base Tunnel (TBM)", to </w:t>
      </w:r>
      <w:r w:rsidRPr="00656E53">
        <w:rPr>
          <w:rFonts w:cstheme="minorHAnsi"/>
          <w:color w:val="000000"/>
          <w:spacing w:val="-6"/>
          <w:sz w:val="24"/>
          <w:szCs w:val="24"/>
        </w:rPr>
        <w:t xml:space="preserve">offset estimated eligible costs of EUR </w:t>
      </w:r>
      <w:r w:rsidRPr="00656E53">
        <w:rPr>
          <w:rFonts w:cstheme="minorHAnsi"/>
          <w:b/>
          <w:color w:val="000000"/>
          <w:spacing w:val="-6"/>
          <w:sz w:val="24"/>
          <w:szCs w:val="24"/>
        </w:rPr>
        <w:t xml:space="preserve">1.915.054.750 </w:t>
      </w:r>
      <w:r w:rsidRPr="00656E53">
        <w:rPr>
          <w:rFonts w:cstheme="minorHAnsi"/>
          <w:color w:val="000000"/>
          <w:spacing w:val="-6"/>
          <w:sz w:val="24"/>
          <w:szCs w:val="24"/>
        </w:rPr>
        <w:t xml:space="preserve">(50% of study activities </w:t>
      </w:r>
      <w:proofErr w:type="spellStart"/>
      <w:r w:rsidRPr="00656E53">
        <w:rPr>
          <w:rFonts w:cstheme="minorHAnsi"/>
          <w:color w:val="000000"/>
          <w:spacing w:val="-6"/>
          <w:sz w:val="24"/>
          <w:szCs w:val="24"/>
        </w:rPr>
        <w:t>subsidised</w:t>
      </w:r>
      <w:proofErr w:type="spellEnd"/>
      <w:r w:rsidRPr="00656E53">
        <w:rPr>
          <w:rFonts w:cstheme="minorHAnsi"/>
          <w:color w:val="000000"/>
          <w:spacing w:val="-6"/>
          <w:sz w:val="24"/>
          <w:szCs w:val="24"/>
        </w:rPr>
        <w:t xml:space="preserve"> and 40% of the actual </w:t>
      </w:r>
      <w:r w:rsidRPr="00656E53">
        <w:rPr>
          <w:rFonts w:cstheme="minorHAnsi"/>
          <w:color w:val="000000"/>
          <w:spacing w:val="-2"/>
          <w:sz w:val="24"/>
          <w:szCs w:val="24"/>
        </w:rPr>
        <w:t>works), during the period running between 01/01/2014 and 31/12/2022.</w:t>
      </w:r>
    </w:p>
    <w:p w14:paraId="0E419C75" w14:textId="77777777" w:rsidR="0074104C" w:rsidRPr="00656E53" w:rsidRDefault="00000000" w:rsidP="00656E53">
      <w:pPr>
        <w:spacing w:after="80"/>
        <w:ind w:right="792"/>
        <w:jc w:val="both"/>
        <w:rPr>
          <w:rFonts w:cstheme="minorHAnsi"/>
          <w:color w:val="000000"/>
          <w:spacing w:val="-1"/>
          <w:sz w:val="24"/>
          <w:szCs w:val="24"/>
        </w:rPr>
      </w:pPr>
      <w:r w:rsidRPr="00656E53">
        <w:rPr>
          <w:rFonts w:cstheme="minorHAnsi"/>
          <w:color w:val="000000"/>
          <w:spacing w:val="-1"/>
          <w:sz w:val="24"/>
          <w:szCs w:val="24"/>
        </w:rPr>
        <w:t xml:space="preserve">It should be noted that this contract is the result of a first extension, of three years, shared between the </w:t>
      </w:r>
      <w:r w:rsidRPr="00656E53">
        <w:rPr>
          <w:rFonts w:cstheme="minorHAnsi"/>
          <w:b/>
          <w:color w:val="000000"/>
          <w:spacing w:val="-4"/>
          <w:sz w:val="24"/>
          <w:szCs w:val="24"/>
        </w:rPr>
        <w:t xml:space="preserve">States, </w:t>
      </w:r>
      <w:r w:rsidRPr="00656E53">
        <w:rPr>
          <w:rFonts w:cstheme="minorHAnsi"/>
          <w:color w:val="000000"/>
          <w:spacing w:val="-4"/>
          <w:sz w:val="24"/>
          <w:szCs w:val="24"/>
        </w:rPr>
        <w:t xml:space="preserve">the European Commission and CINEA in the first weeks of </w:t>
      </w:r>
      <w:r w:rsidRPr="00656E53">
        <w:rPr>
          <w:rFonts w:cstheme="minorHAnsi"/>
          <w:b/>
          <w:color w:val="000000"/>
          <w:spacing w:val="-4"/>
          <w:sz w:val="24"/>
          <w:szCs w:val="24"/>
        </w:rPr>
        <w:t xml:space="preserve">2020 </w:t>
      </w:r>
      <w:r w:rsidRPr="00656E53">
        <w:rPr>
          <w:rFonts w:cstheme="minorHAnsi"/>
          <w:color w:val="000000"/>
          <w:spacing w:val="-4"/>
          <w:sz w:val="24"/>
          <w:szCs w:val="24"/>
        </w:rPr>
        <w:t xml:space="preserve">and approved with the signing of </w:t>
      </w:r>
      <w:r w:rsidRPr="00656E53">
        <w:rPr>
          <w:rFonts w:cstheme="minorHAnsi"/>
          <w:color w:val="000000"/>
          <w:spacing w:val="1"/>
          <w:sz w:val="24"/>
          <w:szCs w:val="24"/>
        </w:rPr>
        <w:t xml:space="preserve">Amendment no. 1 on 17 April 2020. </w:t>
      </w:r>
      <w:r w:rsidRPr="00656E53">
        <w:rPr>
          <w:rFonts w:cstheme="minorHAnsi"/>
          <w:b/>
          <w:color w:val="000000"/>
          <w:spacing w:val="1"/>
          <w:sz w:val="24"/>
          <w:szCs w:val="24"/>
        </w:rPr>
        <w:t xml:space="preserve">Amendment no. 1 </w:t>
      </w:r>
      <w:r w:rsidRPr="00656E53">
        <w:rPr>
          <w:rFonts w:cstheme="minorHAnsi"/>
          <w:color w:val="000000"/>
          <w:spacing w:val="1"/>
          <w:sz w:val="24"/>
          <w:szCs w:val="24"/>
        </w:rPr>
        <w:t xml:space="preserve">was </w:t>
      </w:r>
      <w:proofErr w:type="spellStart"/>
      <w:r w:rsidRPr="00656E53">
        <w:rPr>
          <w:rFonts w:cstheme="minorHAnsi"/>
          <w:color w:val="000000"/>
          <w:spacing w:val="1"/>
          <w:sz w:val="24"/>
          <w:szCs w:val="24"/>
        </w:rPr>
        <w:t>formalised</w:t>
      </w:r>
      <w:proofErr w:type="spellEnd"/>
      <w:r w:rsidRPr="00656E53">
        <w:rPr>
          <w:rFonts w:cstheme="minorHAnsi"/>
          <w:color w:val="000000"/>
          <w:spacing w:val="1"/>
          <w:sz w:val="24"/>
          <w:szCs w:val="24"/>
        </w:rPr>
        <w:t xml:space="preserve"> with the same contribution and </w:t>
      </w:r>
      <w:r w:rsidRPr="00656E53">
        <w:rPr>
          <w:rFonts w:cstheme="minorHAnsi"/>
          <w:color w:val="000000"/>
          <w:spacing w:val="-1"/>
          <w:sz w:val="24"/>
          <w:szCs w:val="24"/>
        </w:rPr>
        <w:t xml:space="preserve">eligible costs and with a much more detailed definition of the perimeter </w:t>
      </w:r>
      <w:r w:rsidRPr="00656E53">
        <w:rPr>
          <w:rFonts w:cstheme="minorHAnsi"/>
          <w:b/>
          <w:color w:val="000000"/>
          <w:spacing w:val="-1"/>
          <w:sz w:val="24"/>
          <w:szCs w:val="24"/>
        </w:rPr>
        <w:t xml:space="preserve">of </w:t>
      </w:r>
      <w:r w:rsidRPr="00656E53">
        <w:rPr>
          <w:rFonts w:cstheme="minorHAnsi"/>
          <w:color w:val="000000"/>
          <w:spacing w:val="-1"/>
          <w:sz w:val="24"/>
          <w:szCs w:val="24"/>
        </w:rPr>
        <w:t xml:space="preserve">competence compared to the </w:t>
      </w:r>
      <w:r w:rsidRPr="00656E53">
        <w:rPr>
          <w:rFonts w:cstheme="minorHAnsi"/>
          <w:color w:val="000000"/>
          <w:sz w:val="24"/>
          <w:szCs w:val="24"/>
        </w:rPr>
        <w:t>original contract.</w:t>
      </w:r>
    </w:p>
    <w:p w14:paraId="061BEB48" w14:textId="77777777" w:rsidR="0074104C" w:rsidRPr="00656E53" w:rsidRDefault="00000000" w:rsidP="00656E53">
      <w:pPr>
        <w:spacing w:after="80"/>
        <w:rPr>
          <w:rFonts w:cstheme="minorHAnsi"/>
          <w:b/>
          <w:bCs/>
          <w:color w:val="000000"/>
          <w:spacing w:val="1"/>
          <w:sz w:val="24"/>
          <w:szCs w:val="24"/>
          <w:u w:val="single"/>
        </w:rPr>
      </w:pPr>
      <w:r w:rsidRPr="00656E53">
        <w:rPr>
          <w:rFonts w:cstheme="minorHAnsi"/>
          <w:b/>
          <w:bCs/>
          <w:color w:val="000000"/>
          <w:spacing w:val="1"/>
          <w:sz w:val="24"/>
          <w:szCs w:val="24"/>
          <w:u w:val="single"/>
        </w:rPr>
        <w:t xml:space="preserve">Why an additional text no. 2: </w:t>
      </w:r>
    </w:p>
    <w:p w14:paraId="781DD429" w14:textId="77777777" w:rsidR="0074104C" w:rsidRPr="00656E53" w:rsidRDefault="00000000" w:rsidP="00656E53">
      <w:pPr>
        <w:spacing w:after="80"/>
        <w:ind w:right="792"/>
        <w:jc w:val="both"/>
        <w:rPr>
          <w:rFonts w:cstheme="minorHAnsi"/>
          <w:color w:val="000000"/>
          <w:spacing w:val="-1"/>
          <w:sz w:val="24"/>
          <w:szCs w:val="24"/>
        </w:rPr>
      </w:pPr>
      <w:r w:rsidRPr="00656E53">
        <w:rPr>
          <w:rFonts w:cstheme="minorHAnsi"/>
          <w:color w:val="000000"/>
          <w:spacing w:val="-1"/>
          <w:sz w:val="24"/>
          <w:szCs w:val="24"/>
        </w:rPr>
        <w:t>In the weeks immediately following the definition of Amendment 1, the effects of the global pandemic crisis led to slowdowns in activities, although these were never wholly stopped, both in France and in Italy. This led to a postponement of some of the work in progress and in the activities of the Public Promoter.</w:t>
      </w:r>
    </w:p>
    <w:p w14:paraId="2B613324" w14:textId="77777777" w:rsidR="0074104C" w:rsidRPr="00656E53" w:rsidRDefault="00000000" w:rsidP="00656E53">
      <w:pPr>
        <w:spacing w:after="80"/>
        <w:ind w:right="792"/>
        <w:jc w:val="both"/>
        <w:rPr>
          <w:rFonts w:cstheme="minorHAnsi"/>
          <w:color w:val="000000"/>
          <w:spacing w:val="-1"/>
          <w:sz w:val="24"/>
          <w:szCs w:val="24"/>
        </w:rPr>
      </w:pPr>
      <w:r w:rsidRPr="00656E53">
        <w:rPr>
          <w:rFonts w:cstheme="minorHAnsi"/>
          <w:color w:val="000000"/>
          <w:spacing w:val="-1"/>
          <w:sz w:val="24"/>
          <w:szCs w:val="24"/>
        </w:rPr>
        <w:t xml:space="preserve">Such effects are obviously true on a global level and have affected the main TEN-T projects, which has led the European Commission to open the possibility of an </w:t>
      </w:r>
      <w:r w:rsidRPr="00656E53">
        <w:rPr>
          <w:rFonts w:cstheme="minorHAnsi"/>
          <w:b/>
          <w:color w:val="000000"/>
          <w:spacing w:val="-1"/>
          <w:sz w:val="24"/>
          <w:szCs w:val="24"/>
        </w:rPr>
        <w:t>extension</w:t>
      </w:r>
    </w:p>
    <w:p w14:paraId="4AF3A480" w14:textId="77777777" w:rsidR="0074104C" w:rsidRPr="00656E53" w:rsidRDefault="00000000" w:rsidP="00656E53">
      <w:pPr>
        <w:spacing w:after="80"/>
        <w:jc w:val="both"/>
        <w:rPr>
          <w:rFonts w:cstheme="minorHAnsi"/>
          <w:color w:val="000000"/>
          <w:spacing w:val="-1"/>
          <w:sz w:val="24"/>
          <w:szCs w:val="24"/>
        </w:rPr>
      </w:pPr>
      <w:r w:rsidRPr="00656E53">
        <w:rPr>
          <w:rFonts w:cstheme="minorHAnsi"/>
          <w:color w:val="000000"/>
          <w:spacing w:val="-1"/>
          <w:sz w:val="24"/>
          <w:szCs w:val="24"/>
        </w:rPr>
        <w:t>Moreover, other elements need to be considered for the TELT project:</w:t>
      </w:r>
    </w:p>
    <w:p w14:paraId="7FFA93B8" w14:textId="77777777" w:rsidR="0074104C" w:rsidRPr="00656E53" w:rsidRDefault="00000000" w:rsidP="00656E53">
      <w:pPr>
        <w:numPr>
          <w:ilvl w:val="0"/>
          <w:numId w:val="1"/>
        </w:numPr>
        <w:spacing w:after="80"/>
        <w:ind w:left="360" w:right="792" w:hanging="360"/>
        <w:jc w:val="both"/>
        <w:rPr>
          <w:rFonts w:cstheme="minorHAnsi"/>
          <w:color w:val="000000"/>
          <w:spacing w:val="1"/>
          <w:sz w:val="24"/>
          <w:szCs w:val="24"/>
        </w:rPr>
      </w:pPr>
      <w:r w:rsidRPr="00656E53">
        <w:rPr>
          <w:rFonts w:cstheme="minorHAnsi"/>
          <w:color w:val="000000"/>
          <w:spacing w:val="1"/>
          <w:sz w:val="24"/>
          <w:szCs w:val="24"/>
        </w:rPr>
        <w:t xml:space="preserve">in 2021 the </w:t>
      </w:r>
      <w:r w:rsidRPr="00656E53">
        <w:rPr>
          <w:rFonts w:cstheme="minorHAnsi"/>
          <w:color w:val="000000"/>
          <w:spacing w:val="1"/>
          <w:sz w:val="24"/>
          <w:szCs w:val="24"/>
          <w:u w:val="single"/>
        </w:rPr>
        <w:t>signing of the contracts for the civil engineering works</w:t>
      </w:r>
      <w:r w:rsidRPr="00656E53">
        <w:rPr>
          <w:rFonts w:cstheme="minorHAnsi"/>
          <w:color w:val="000000"/>
          <w:spacing w:val="1"/>
          <w:sz w:val="24"/>
          <w:szCs w:val="24"/>
        </w:rPr>
        <w:t xml:space="preserve"> of the base tunnel on the French side </w:t>
      </w:r>
      <w:r w:rsidRPr="00656E53">
        <w:rPr>
          <w:rFonts w:cstheme="minorHAnsi"/>
          <w:color w:val="000000"/>
          <w:spacing w:val="-2"/>
          <w:sz w:val="24"/>
          <w:szCs w:val="24"/>
        </w:rPr>
        <w:t>took place, specifically concerning 3 contracts:</w:t>
      </w:r>
    </w:p>
    <w:p w14:paraId="4B01F626" w14:textId="77777777" w:rsidR="0074104C" w:rsidRPr="00656E53" w:rsidRDefault="00000000" w:rsidP="00656E53">
      <w:pPr>
        <w:spacing w:after="80"/>
        <w:ind w:left="720" w:right="792"/>
        <w:jc w:val="both"/>
        <w:rPr>
          <w:rFonts w:cstheme="minorHAnsi"/>
          <w:color w:val="000000"/>
          <w:sz w:val="24"/>
          <w:szCs w:val="24"/>
        </w:rPr>
      </w:pPr>
      <w:r w:rsidRPr="00656E53">
        <w:rPr>
          <w:rFonts w:cstheme="minorHAnsi"/>
          <w:color w:val="000000"/>
          <w:sz w:val="24"/>
          <w:szCs w:val="24"/>
        </w:rPr>
        <w:t xml:space="preserve">Lot 1 - Operative site 5 - excavation of the base tunnel between Villarodin-Bourget Modane and </w:t>
      </w:r>
      <w:r w:rsidRPr="00656E53">
        <w:rPr>
          <w:rFonts w:cstheme="minorHAnsi"/>
          <w:color w:val="000000"/>
          <w:spacing w:val="-2"/>
          <w:sz w:val="24"/>
          <w:szCs w:val="24"/>
        </w:rPr>
        <w:t>Maddalena (GA activity n. 23)</w:t>
      </w:r>
    </w:p>
    <w:p w14:paraId="254CF6D5" w14:textId="77777777" w:rsidR="0074104C" w:rsidRPr="00656E53" w:rsidRDefault="00000000" w:rsidP="00656E53">
      <w:pPr>
        <w:spacing w:after="80"/>
        <w:ind w:left="720" w:right="792"/>
        <w:jc w:val="both"/>
        <w:rPr>
          <w:rFonts w:cstheme="minorHAnsi"/>
          <w:color w:val="000000"/>
          <w:sz w:val="24"/>
          <w:szCs w:val="24"/>
        </w:rPr>
      </w:pPr>
      <w:r w:rsidRPr="00656E53">
        <w:rPr>
          <w:rFonts w:cstheme="minorHAnsi"/>
          <w:color w:val="000000"/>
          <w:sz w:val="24"/>
          <w:szCs w:val="24"/>
        </w:rPr>
        <w:t xml:space="preserve">Lot 2 - Operative sites 6/7 - excavation of the base tunnel between Saint Martine is Porte and </w:t>
      </w:r>
      <w:r w:rsidRPr="00656E53">
        <w:rPr>
          <w:rFonts w:cstheme="minorHAnsi"/>
          <w:color w:val="000000"/>
          <w:spacing w:val="1"/>
          <w:sz w:val="24"/>
          <w:szCs w:val="24"/>
        </w:rPr>
        <w:t>Villarodin-Bourget Modane (GA activities n. 24 - 25)</w:t>
      </w:r>
    </w:p>
    <w:p w14:paraId="14A619DB" w14:textId="77777777" w:rsidR="0074104C" w:rsidRPr="00656E53" w:rsidRDefault="00000000" w:rsidP="00656E53">
      <w:pPr>
        <w:spacing w:after="80"/>
        <w:ind w:left="720" w:right="792"/>
        <w:jc w:val="both"/>
        <w:rPr>
          <w:rFonts w:cstheme="minorHAnsi"/>
          <w:color w:val="000000"/>
          <w:spacing w:val="-1"/>
          <w:sz w:val="24"/>
          <w:szCs w:val="24"/>
        </w:rPr>
      </w:pPr>
      <w:r w:rsidRPr="00656E53">
        <w:rPr>
          <w:rFonts w:cstheme="minorHAnsi"/>
          <w:color w:val="000000"/>
          <w:spacing w:val="-1"/>
          <w:sz w:val="24"/>
          <w:szCs w:val="24"/>
        </w:rPr>
        <w:t xml:space="preserve">Lot 3 - Operative site 8 - excavation of the base tunnel between the west entrance and Saint Martin </w:t>
      </w:r>
      <w:proofErr w:type="spellStart"/>
      <w:r w:rsidRPr="00656E53">
        <w:rPr>
          <w:rFonts w:cstheme="minorHAnsi"/>
          <w:color w:val="000000"/>
          <w:spacing w:val="-4"/>
          <w:sz w:val="24"/>
          <w:szCs w:val="24"/>
        </w:rPr>
        <w:t>Ia</w:t>
      </w:r>
      <w:proofErr w:type="spellEnd"/>
      <w:r w:rsidRPr="00656E53">
        <w:rPr>
          <w:rFonts w:cstheme="minorHAnsi"/>
          <w:color w:val="000000"/>
          <w:spacing w:val="-4"/>
          <w:sz w:val="24"/>
          <w:szCs w:val="24"/>
        </w:rPr>
        <w:t xml:space="preserve"> Porte (GA activity n. 26)</w:t>
      </w:r>
    </w:p>
    <w:p w14:paraId="433A9D2E" w14:textId="77777777" w:rsidR="0074104C" w:rsidRPr="00656E53" w:rsidRDefault="00000000" w:rsidP="00656E53">
      <w:pPr>
        <w:spacing w:after="80"/>
        <w:ind w:right="792"/>
        <w:jc w:val="both"/>
        <w:rPr>
          <w:rFonts w:cstheme="minorHAnsi"/>
          <w:color w:val="000000"/>
          <w:spacing w:val="-2"/>
          <w:sz w:val="24"/>
          <w:szCs w:val="24"/>
        </w:rPr>
      </w:pPr>
      <w:r w:rsidRPr="00656E53">
        <w:rPr>
          <w:rFonts w:cstheme="minorHAnsi"/>
          <w:color w:val="000000"/>
          <w:spacing w:val="-2"/>
          <w:sz w:val="24"/>
          <w:szCs w:val="24"/>
        </w:rPr>
        <w:t xml:space="preserve">The sums of these contracts as well as the related work </w:t>
      </w:r>
      <w:proofErr w:type="spellStart"/>
      <w:r w:rsidRPr="00656E53">
        <w:rPr>
          <w:rFonts w:cstheme="minorHAnsi"/>
          <w:color w:val="000000"/>
          <w:spacing w:val="-2"/>
          <w:sz w:val="24"/>
          <w:szCs w:val="24"/>
        </w:rPr>
        <w:t>programmes</w:t>
      </w:r>
      <w:proofErr w:type="spellEnd"/>
      <w:r w:rsidRPr="00656E53">
        <w:rPr>
          <w:rFonts w:cstheme="minorHAnsi"/>
          <w:color w:val="000000"/>
          <w:spacing w:val="-2"/>
          <w:sz w:val="24"/>
          <w:szCs w:val="24"/>
        </w:rPr>
        <w:t xml:space="preserve"> have therefore formally replaced the project forecasts of the PRF, on which the Grant had been based until then.</w:t>
      </w:r>
    </w:p>
    <w:p w14:paraId="3AACD783" w14:textId="77777777" w:rsidR="0074104C" w:rsidRPr="00656E53" w:rsidRDefault="00000000" w:rsidP="00656E53">
      <w:pPr>
        <w:numPr>
          <w:ilvl w:val="0"/>
          <w:numId w:val="2"/>
        </w:numPr>
        <w:spacing w:after="80"/>
        <w:ind w:left="288" w:right="792" w:hanging="288"/>
        <w:jc w:val="both"/>
        <w:rPr>
          <w:rFonts w:cstheme="minorHAnsi"/>
          <w:color w:val="000000"/>
          <w:spacing w:val="1"/>
          <w:sz w:val="24"/>
          <w:szCs w:val="24"/>
        </w:rPr>
      </w:pPr>
      <w:r w:rsidRPr="00656E53">
        <w:rPr>
          <w:rFonts w:cstheme="minorHAnsi"/>
          <w:color w:val="000000"/>
          <w:spacing w:val="1"/>
          <w:sz w:val="24"/>
          <w:szCs w:val="24"/>
        </w:rPr>
        <w:t xml:space="preserve">The tender for the </w:t>
      </w:r>
      <w:r w:rsidRPr="00656E53">
        <w:rPr>
          <w:rFonts w:cstheme="minorHAnsi"/>
          <w:color w:val="000000"/>
          <w:spacing w:val="1"/>
          <w:sz w:val="24"/>
          <w:szCs w:val="24"/>
          <w:u w:val="single"/>
        </w:rPr>
        <w:t>Avrieux shafts</w:t>
      </w:r>
      <w:r w:rsidRPr="00656E53">
        <w:rPr>
          <w:rFonts w:cstheme="minorHAnsi"/>
          <w:color w:val="000000"/>
          <w:spacing w:val="1"/>
          <w:sz w:val="24"/>
          <w:szCs w:val="24"/>
        </w:rPr>
        <w:t xml:space="preserve"> (GA activity r. 15), on the critical path after the </w:t>
      </w:r>
      <w:proofErr w:type="spellStart"/>
      <w:r w:rsidRPr="00656E53">
        <w:rPr>
          <w:rFonts w:cstheme="minorHAnsi"/>
          <w:color w:val="000000"/>
          <w:spacing w:val="1"/>
          <w:sz w:val="24"/>
          <w:szCs w:val="24"/>
        </w:rPr>
        <w:t>authorisation</w:t>
      </w:r>
      <w:proofErr w:type="spellEnd"/>
      <w:r w:rsidRPr="00656E53">
        <w:rPr>
          <w:rFonts w:cstheme="minorHAnsi"/>
          <w:color w:val="000000"/>
          <w:spacing w:val="1"/>
          <w:sz w:val="24"/>
          <w:szCs w:val="24"/>
        </w:rPr>
        <w:t xml:space="preserve"> of the </w:t>
      </w:r>
      <w:r w:rsidRPr="00656E53">
        <w:rPr>
          <w:rFonts w:cstheme="minorHAnsi"/>
          <w:color w:val="000000"/>
          <w:sz w:val="24"/>
          <w:szCs w:val="24"/>
        </w:rPr>
        <w:t xml:space="preserve">Board of Directors in May 2020 and the signing of the contract, encountered unforeseen geological </w:t>
      </w:r>
      <w:r w:rsidRPr="00656E53">
        <w:rPr>
          <w:rFonts w:cstheme="minorHAnsi"/>
          <w:color w:val="000000"/>
          <w:spacing w:val="-2"/>
          <w:sz w:val="24"/>
          <w:szCs w:val="24"/>
        </w:rPr>
        <w:t>difficulties that slowed its progress in 2022;</w:t>
      </w:r>
    </w:p>
    <w:p w14:paraId="4B29048B" w14:textId="1B675B3C" w:rsidR="0074104C" w:rsidRPr="00656E53" w:rsidRDefault="00000000" w:rsidP="00656E53">
      <w:pPr>
        <w:numPr>
          <w:ilvl w:val="0"/>
          <w:numId w:val="2"/>
        </w:numPr>
        <w:spacing w:after="80"/>
        <w:ind w:left="288" w:right="72" w:hanging="288"/>
        <w:jc w:val="both"/>
        <w:rPr>
          <w:rFonts w:cstheme="minorHAnsi"/>
          <w:color w:val="000000"/>
          <w:spacing w:val="5"/>
          <w:w w:val="105"/>
          <w:sz w:val="24"/>
          <w:szCs w:val="24"/>
          <w:u w:val="single"/>
        </w:rPr>
      </w:pPr>
      <w:r w:rsidRPr="00656E53">
        <w:rPr>
          <w:rFonts w:cstheme="minorHAnsi"/>
          <w:color w:val="000000"/>
          <w:spacing w:val="-2"/>
          <w:sz w:val="24"/>
          <w:szCs w:val="24"/>
        </w:rPr>
        <w:t xml:space="preserve">The recent </w:t>
      </w:r>
      <w:proofErr w:type="spellStart"/>
      <w:r w:rsidRPr="00656E53">
        <w:rPr>
          <w:rFonts w:cstheme="minorHAnsi"/>
          <w:color w:val="000000"/>
          <w:spacing w:val="-2"/>
          <w:sz w:val="24"/>
          <w:szCs w:val="24"/>
        </w:rPr>
        <w:t>generalised</w:t>
      </w:r>
      <w:proofErr w:type="spellEnd"/>
      <w:r w:rsidRPr="00656E53">
        <w:rPr>
          <w:rFonts w:cstheme="minorHAnsi"/>
          <w:color w:val="000000"/>
          <w:spacing w:val="-2"/>
          <w:sz w:val="24"/>
          <w:szCs w:val="24"/>
        </w:rPr>
        <w:t xml:space="preserve"> increase in the prices of raw materials worldwide, presumably linked first to Covid</w:t>
      </w:r>
      <w:r w:rsidRPr="00656E53">
        <w:rPr>
          <w:rFonts w:cstheme="minorHAnsi"/>
          <w:color w:val="000000"/>
          <w:spacing w:val="-2"/>
          <w:sz w:val="24"/>
          <w:szCs w:val="24"/>
        </w:rPr>
        <w:br/>
      </w:r>
      <w:r w:rsidRPr="00656E53">
        <w:rPr>
          <w:rFonts w:cstheme="minorHAnsi"/>
          <w:color w:val="000000"/>
          <w:spacing w:val="2"/>
          <w:sz w:val="24"/>
          <w:szCs w:val="24"/>
        </w:rPr>
        <w:t xml:space="preserve">and then to the war in Ukraine, has particularly affected </w:t>
      </w:r>
      <w:r w:rsidRPr="00656E53">
        <w:rPr>
          <w:rFonts w:cstheme="minorHAnsi"/>
          <w:color w:val="000000"/>
          <w:spacing w:val="2"/>
          <w:sz w:val="24"/>
          <w:szCs w:val="24"/>
          <w:u w:val="single"/>
        </w:rPr>
        <w:t xml:space="preserve">procurements, in particular, in works under </w:t>
      </w:r>
      <w:r w:rsidRPr="00656E53">
        <w:rPr>
          <w:rFonts w:cstheme="minorHAnsi"/>
          <w:color w:val="000000"/>
          <w:spacing w:val="5"/>
          <w:w w:val="105"/>
          <w:sz w:val="24"/>
          <w:szCs w:val="24"/>
          <w:u w:val="single"/>
        </w:rPr>
        <w:t>management,</w:t>
      </w:r>
      <w:r w:rsidRPr="00656E53">
        <w:rPr>
          <w:rFonts w:cstheme="minorHAnsi"/>
          <w:color w:val="000000"/>
          <w:spacing w:val="5"/>
          <w:sz w:val="24"/>
          <w:szCs w:val="24"/>
        </w:rPr>
        <w:t xml:space="preserve"> regulated by Italian law, which required on one hand, the application of the so-called </w:t>
      </w:r>
      <w:r w:rsidRPr="00656E53">
        <w:rPr>
          <w:rFonts w:cstheme="minorHAnsi"/>
          <w:color w:val="000000"/>
          <w:spacing w:val="-1"/>
          <w:sz w:val="24"/>
          <w:szCs w:val="24"/>
        </w:rPr>
        <w:t>"</w:t>
      </w:r>
      <w:proofErr w:type="spellStart"/>
      <w:r w:rsidRPr="00656E53">
        <w:rPr>
          <w:rFonts w:cstheme="minorHAnsi"/>
          <w:color w:val="000000"/>
          <w:spacing w:val="-1"/>
          <w:sz w:val="24"/>
          <w:szCs w:val="24"/>
        </w:rPr>
        <w:t>Decreto</w:t>
      </w:r>
      <w:proofErr w:type="spellEnd"/>
      <w:r w:rsidRPr="00656E53">
        <w:rPr>
          <w:rFonts w:cstheme="minorHAnsi"/>
          <w:color w:val="000000"/>
          <w:spacing w:val="-1"/>
          <w:sz w:val="24"/>
          <w:szCs w:val="24"/>
        </w:rPr>
        <w:t xml:space="preserve"> </w:t>
      </w:r>
      <w:proofErr w:type="spellStart"/>
      <w:r w:rsidRPr="00656E53">
        <w:rPr>
          <w:rFonts w:cstheme="minorHAnsi"/>
          <w:color w:val="000000"/>
          <w:spacing w:val="-1"/>
          <w:sz w:val="24"/>
          <w:szCs w:val="24"/>
        </w:rPr>
        <w:t>aiuti</w:t>
      </w:r>
      <w:proofErr w:type="spellEnd"/>
      <w:r w:rsidRPr="00656E53">
        <w:rPr>
          <w:rFonts w:cstheme="minorHAnsi"/>
          <w:color w:val="000000"/>
          <w:spacing w:val="-1"/>
          <w:sz w:val="24"/>
          <w:szCs w:val="24"/>
        </w:rPr>
        <w:t xml:space="preserve">" (Aid Decree) in order to update the reference price lists and on the other hand a variant </w:t>
      </w:r>
      <w:r w:rsidRPr="00656E53">
        <w:rPr>
          <w:rFonts w:cstheme="minorHAnsi"/>
          <w:color w:val="000000"/>
          <w:spacing w:val="-4"/>
          <w:sz w:val="24"/>
          <w:szCs w:val="24"/>
        </w:rPr>
        <w:t xml:space="preserve">regulated by article 169 (DLG5_163 / 2006) which will be sent to the </w:t>
      </w:r>
      <w:r w:rsidRPr="00656E53">
        <w:rPr>
          <w:rFonts w:cstheme="minorHAnsi"/>
          <w:color w:val="000000"/>
          <w:spacing w:val="-4"/>
          <w:sz w:val="24"/>
          <w:szCs w:val="24"/>
        </w:rPr>
        <w:lastRenderedPageBreak/>
        <w:t xml:space="preserve">concerned Ministries as a preliminary </w:t>
      </w:r>
      <w:r w:rsidRPr="00656E53">
        <w:rPr>
          <w:rFonts w:cstheme="minorHAnsi"/>
          <w:color w:val="000000"/>
          <w:spacing w:val="-3"/>
          <w:sz w:val="24"/>
          <w:szCs w:val="24"/>
        </w:rPr>
        <w:t>step to updating the existing agreements (GA activities n. 10 —11)</w:t>
      </w:r>
    </w:p>
    <w:p w14:paraId="7FA02567" w14:textId="77777777" w:rsidR="0074104C" w:rsidRPr="00656E53" w:rsidRDefault="00000000" w:rsidP="00656E53">
      <w:pPr>
        <w:spacing w:after="80"/>
        <w:ind w:right="72"/>
        <w:rPr>
          <w:rFonts w:cstheme="minorHAnsi"/>
          <w:b/>
          <w:color w:val="000000"/>
          <w:sz w:val="24"/>
          <w:szCs w:val="24"/>
        </w:rPr>
      </w:pPr>
      <w:r w:rsidRPr="00656E53">
        <w:rPr>
          <w:rFonts w:cstheme="minorHAnsi"/>
          <w:b/>
          <w:color w:val="000000"/>
          <w:sz w:val="24"/>
          <w:szCs w:val="24"/>
        </w:rPr>
        <w:t xml:space="preserve">All this leads to the need to revise the work </w:t>
      </w:r>
      <w:proofErr w:type="spellStart"/>
      <w:r w:rsidRPr="00656E53">
        <w:rPr>
          <w:rFonts w:cstheme="minorHAnsi"/>
          <w:b/>
          <w:color w:val="000000"/>
          <w:sz w:val="24"/>
          <w:szCs w:val="24"/>
        </w:rPr>
        <w:t>programme</w:t>
      </w:r>
      <w:proofErr w:type="spellEnd"/>
      <w:r w:rsidRPr="00656E53">
        <w:rPr>
          <w:rFonts w:cstheme="minorHAnsi"/>
          <w:b/>
          <w:color w:val="000000"/>
          <w:sz w:val="24"/>
          <w:szCs w:val="24"/>
        </w:rPr>
        <w:t xml:space="preserve"> on which the Grant Agreement is based, while ensuring full capacity </w:t>
      </w:r>
      <w:proofErr w:type="spellStart"/>
      <w:r w:rsidRPr="00656E53">
        <w:rPr>
          <w:rFonts w:cstheme="minorHAnsi"/>
          <w:b/>
          <w:color w:val="000000"/>
          <w:sz w:val="24"/>
          <w:szCs w:val="24"/>
        </w:rPr>
        <w:t>utilisation</w:t>
      </w:r>
      <w:proofErr w:type="spellEnd"/>
      <w:r w:rsidRPr="00656E53">
        <w:rPr>
          <w:rFonts w:cstheme="minorHAnsi"/>
          <w:b/>
          <w:color w:val="000000"/>
          <w:sz w:val="24"/>
          <w:szCs w:val="24"/>
        </w:rPr>
        <w:t xml:space="preserve"> of available funds.</w:t>
      </w:r>
    </w:p>
    <w:p w14:paraId="3DC7E99D" w14:textId="77777777" w:rsidR="0074104C" w:rsidRPr="00656E53" w:rsidRDefault="00000000" w:rsidP="00656E53">
      <w:pPr>
        <w:spacing w:after="80"/>
        <w:rPr>
          <w:rFonts w:cstheme="minorHAnsi"/>
          <w:b/>
          <w:bCs/>
          <w:color w:val="000000"/>
          <w:spacing w:val="2"/>
          <w:sz w:val="24"/>
          <w:szCs w:val="24"/>
          <w:u w:val="single"/>
        </w:rPr>
      </w:pPr>
      <w:r w:rsidRPr="00656E53">
        <w:rPr>
          <w:rFonts w:cstheme="minorHAnsi"/>
          <w:b/>
          <w:bCs/>
          <w:color w:val="000000"/>
          <w:spacing w:val="2"/>
          <w:sz w:val="24"/>
          <w:szCs w:val="24"/>
          <w:u w:val="single"/>
        </w:rPr>
        <w:t xml:space="preserve">The scope of Amendment No. 2 </w:t>
      </w:r>
    </w:p>
    <w:p w14:paraId="3959F5FD" w14:textId="77777777" w:rsidR="0074104C" w:rsidRPr="00656E53" w:rsidRDefault="00000000" w:rsidP="00656E53">
      <w:pPr>
        <w:spacing w:after="80"/>
        <w:ind w:right="72"/>
        <w:jc w:val="both"/>
        <w:rPr>
          <w:rFonts w:cstheme="minorHAnsi"/>
          <w:color w:val="000000"/>
          <w:spacing w:val="-2"/>
          <w:sz w:val="24"/>
          <w:szCs w:val="24"/>
        </w:rPr>
      </w:pPr>
      <w:r w:rsidRPr="00656E53">
        <w:rPr>
          <w:rFonts w:cstheme="minorHAnsi"/>
          <w:color w:val="000000"/>
          <w:spacing w:val="-2"/>
          <w:sz w:val="24"/>
          <w:szCs w:val="24"/>
        </w:rPr>
        <w:t xml:space="preserve">While </w:t>
      </w:r>
      <w:r w:rsidRPr="00656E53">
        <w:rPr>
          <w:rFonts w:cstheme="minorHAnsi"/>
          <w:b/>
          <w:color w:val="000000"/>
          <w:spacing w:val="-2"/>
          <w:sz w:val="24"/>
          <w:szCs w:val="24"/>
        </w:rPr>
        <w:t xml:space="preserve">confirming the project's ability to achieve the main production targets </w:t>
      </w:r>
      <w:r w:rsidRPr="00656E53">
        <w:rPr>
          <w:rFonts w:cstheme="minorHAnsi"/>
          <w:color w:val="000000"/>
          <w:spacing w:val="-2"/>
          <w:sz w:val="24"/>
          <w:szCs w:val="24"/>
        </w:rPr>
        <w:t xml:space="preserve">represented by the Grant with </w:t>
      </w:r>
      <w:r w:rsidRPr="00656E53">
        <w:rPr>
          <w:rFonts w:cstheme="minorHAnsi"/>
          <w:color w:val="000000"/>
          <w:spacing w:val="4"/>
          <w:sz w:val="24"/>
          <w:szCs w:val="24"/>
        </w:rPr>
        <w:t xml:space="preserve">regard to the </w:t>
      </w:r>
      <w:r w:rsidRPr="00656E53">
        <w:rPr>
          <w:rFonts w:cstheme="minorHAnsi"/>
          <w:b/>
          <w:color w:val="000000"/>
          <w:spacing w:val="4"/>
          <w:sz w:val="24"/>
          <w:szCs w:val="24"/>
        </w:rPr>
        <w:t xml:space="preserve">33 activities by </w:t>
      </w:r>
      <w:r w:rsidRPr="00656E53">
        <w:rPr>
          <w:rFonts w:cstheme="minorHAnsi"/>
          <w:color w:val="000000"/>
          <w:spacing w:val="4"/>
          <w:sz w:val="24"/>
          <w:szCs w:val="24"/>
        </w:rPr>
        <w:t xml:space="preserve">it is necessary to consider that, in this second amendment, there are </w:t>
      </w:r>
      <w:r w:rsidRPr="00656E53">
        <w:rPr>
          <w:rFonts w:cstheme="minorHAnsi"/>
          <w:color w:val="000000"/>
          <w:spacing w:val="-3"/>
          <w:sz w:val="24"/>
          <w:szCs w:val="24"/>
        </w:rPr>
        <w:t>minor adjustments compared to the ASR 2022.</w:t>
      </w:r>
    </w:p>
    <w:p w14:paraId="4B3ECF77" w14:textId="77777777" w:rsidR="0074104C" w:rsidRPr="00656E53" w:rsidRDefault="00000000" w:rsidP="00656E53">
      <w:pPr>
        <w:spacing w:after="80"/>
        <w:rPr>
          <w:rFonts w:cstheme="minorHAnsi"/>
          <w:color w:val="000000"/>
          <w:spacing w:val="-1"/>
          <w:sz w:val="24"/>
          <w:szCs w:val="24"/>
        </w:rPr>
      </w:pPr>
      <w:r w:rsidRPr="00656E53">
        <w:rPr>
          <w:rFonts w:cstheme="minorHAnsi"/>
          <w:color w:val="000000"/>
          <w:spacing w:val="-1"/>
          <w:sz w:val="24"/>
          <w:szCs w:val="24"/>
        </w:rPr>
        <w:t>Main differences between the amendment proposal and the ASR 2022 are:</w:t>
      </w:r>
    </w:p>
    <w:p w14:paraId="43A9D8EE" w14:textId="56190412" w:rsidR="0074104C" w:rsidRPr="00656E53" w:rsidRDefault="00000000" w:rsidP="00656E53">
      <w:pPr>
        <w:numPr>
          <w:ilvl w:val="0"/>
          <w:numId w:val="3"/>
        </w:numPr>
        <w:spacing w:after="80"/>
        <w:ind w:left="0"/>
        <w:rPr>
          <w:rFonts w:cstheme="minorHAnsi"/>
          <w:i/>
          <w:color w:val="000000"/>
          <w:spacing w:val="1"/>
          <w:sz w:val="24"/>
          <w:szCs w:val="24"/>
        </w:rPr>
      </w:pPr>
      <w:r w:rsidRPr="00656E53">
        <w:rPr>
          <w:rFonts w:cstheme="minorHAnsi"/>
          <w:i/>
          <w:color w:val="000000"/>
          <w:spacing w:val="1"/>
          <w:sz w:val="24"/>
          <w:szCs w:val="24"/>
        </w:rPr>
        <w:t>4 Exploratory activities from the foot of the Saint-Martin-la-Porte access tunnels</w:t>
      </w:r>
    </w:p>
    <w:p w14:paraId="65F3EDFD" w14:textId="77777777" w:rsidR="0074104C" w:rsidRPr="00656E53" w:rsidRDefault="00000000" w:rsidP="00656E53">
      <w:pPr>
        <w:spacing w:after="80"/>
        <w:ind w:left="360" w:right="72"/>
        <w:jc w:val="both"/>
        <w:rPr>
          <w:rFonts w:cstheme="minorHAnsi"/>
          <w:color w:val="000000"/>
          <w:spacing w:val="-1"/>
          <w:sz w:val="24"/>
          <w:szCs w:val="24"/>
        </w:rPr>
      </w:pPr>
      <w:r w:rsidRPr="00656E53">
        <w:rPr>
          <w:rFonts w:cstheme="minorHAnsi"/>
          <w:color w:val="000000"/>
          <w:spacing w:val="-1"/>
          <w:sz w:val="24"/>
          <w:szCs w:val="24"/>
        </w:rPr>
        <w:t xml:space="preserve">This activity can be considered achieved with higher costs compared to the first amendment due to </w:t>
      </w:r>
      <w:r w:rsidRPr="00656E53">
        <w:rPr>
          <w:rFonts w:cstheme="minorHAnsi"/>
          <w:color w:val="000000"/>
          <w:spacing w:val="-5"/>
          <w:sz w:val="24"/>
          <w:szCs w:val="24"/>
        </w:rPr>
        <w:t xml:space="preserve">geological issues encountered in the most complex section of the tunnel, however because of some risks </w:t>
      </w:r>
      <w:r w:rsidRPr="00656E53">
        <w:rPr>
          <w:rFonts w:cstheme="minorHAnsi"/>
          <w:color w:val="000000"/>
          <w:sz w:val="24"/>
          <w:szCs w:val="24"/>
        </w:rPr>
        <w:t xml:space="preserve">included in the ASR 2022 has not been </w:t>
      </w:r>
      <w:proofErr w:type="spellStart"/>
      <w:r w:rsidRPr="00656E53">
        <w:rPr>
          <w:rFonts w:cstheme="minorHAnsi"/>
          <w:color w:val="000000"/>
          <w:sz w:val="24"/>
          <w:szCs w:val="24"/>
        </w:rPr>
        <w:t>materialised</w:t>
      </w:r>
      <w:proofErr w:type="spellEnd"/>
      <w:r w:rsidRPr="00656E53">
        <w:rPr>
          <w:rFonts w:cstheme="minorHAnsi"/>
          <w:color w:val="000000"/>
          <w:sz w:val="24"/>
          <w:szCs w:val="24"/>
        </w:rPr>
        <w:t xml:space="preserve">, the amendment records a decrease of 15 M€ </w:t>
      </w:r>
      <w:r w:rsidRPr="00656E53">
        <w:rPr>
          <w:rFonts w:cstheme="minorHAnsi"/>
          <w:color w:val="000000"/>
          <w:spacing w:val="-1"/>
          <w:sz w:val="24"/>
          <w:szCs w:val="24"/>
        </w:rPr>
        <w:t>compared to what has been declared in march.</w:t>
      </w:r>
    </w:p>
    <w:p w14:paraId="59FDE058" w14:textId="77777777" w:rsidR="0074104C" w:rsidRPr="00656E53" w:rsidRDefault="00000000" w:rsidP="00656E53">
      <w:pPr>
        <w:numPr>
          <w:ilvl w:val="0"/>
          <w:numId w:val="3"/>
        </w:numPr>
        <w:spacing w:after="80"/>
        <w:ind w:left="0"/>
        <w:rPr>
          <w:rFonts w:cstheme="minorHAnsi"/>
          <w:i/>
          <w:color w:val="000000"/>
          <w:spacing w:val="-2"/>
          <w:sz w:val="24"/>
          <w:szCs w:val="24"/>
        </w:rPr>
      </w:pPr>
      <w:r w:rsidRPr="00656E53">
        <w:rPr>
          <w:rFonts w:cstheme="minorHAnsi"/>
          <w:i/>
          <w:color w:val="000000"/>
          <w:spacing w:val="-2"/>
          <w:sz w:val="24"/>
          <w:szCs w:val="24"/>
        </w:rPr>
        <w:t xml:space="preserve">6 TEL </w:t>
      </w:r>
      <w:r w:rsidRPr="00656E53">
        <w:rPr>
          <w:rFonts w:cstheme="minorHAnsi"/>
          <w:color w:val="000000"/>
          <w:spacing w:val="-2"/>
          <w:sz w:val="24"/>
          <w:szCs w:val="24"/>
        </w:rPr>
        <w:t xml:space="preserve">T </w:t>
      </w:r>
      <w:r w:rsidRPr="00656E53">
        <w:rPr>
          <w:rFonts w:cstheme="minorHAnsi"/>
          <w:i/>
          <w:color w:val="000000"/>
          <w:spacing w:val="-2"/>
          <w:sz w:val="24"/>
          <w:szCs w:val="24"/>
        </w:rPr>
        <w:t>Administrative costs for works</w:t>
      </w:r>
    </w:p>
    <w:p w14:paraId="7B947D36" w14:textId="77777777" w:rsidR="0074104C" w:rsidRPr="00656E53" w:rsidRDefault="00000000" w:rsidP="00656E53">
      <w:pPr>
        <w:spacing w:after="80"/>
        <w:ind w:left="360" w:right="72"/>
        <w:rPr>
          <w:rFonts w:cstheme="minorHAnsi"/>
          <w:color w:val="000000"/>
          <w:spacing w:val="-3"/>
          <w:sz w:val="24"/>
          <w:szCs w:val="24"/>
        </w:rPr>
      </w:pPr>
      <w:r w:rsidRPr="00656E53">
        <w:rPr>
          <w:rFonts w:cstheme="minorHAnsi"/>
          <w:color w:val="000000"/>
          <w:spacing w:val="-3"/>
          <w:sz w:val="24"/>
          <w:szCs w:val="24"/>
        </w:rPr>
        <w:t xml:space="preserve">This activity is around 31 M€ higher than ASR 2022 as, in march, the plan was to participate in the 2022 </w:t>
      </w:r>
      <w:r w:rsidRPr="00656E53">
        <w:rPr>
          <w:rFonts w:cstheme="minorHAnsi"/>
          <w:color w:val="000000"/>
          <w:spacing w:val="-6"/>
          <w:sz w:val="24"/>
          <w:szCs w:val="24"/>
        </w:rPr>
        <w:t>CEF call.</w:t>
      </w:r>
    </w:p>
    <w:p w14:paraId="0A947A61" w14:textId="77777777" w:rsidR="0074104C" w:rsidRPr="00656E53" w:rsidRDefault="00000000" w:rsidP="00656E53">
      <w:pPr>
        <w:numPr>
          <w:ilvl w:val="0"/>
          <w:numId w:val="3"/>
        </w:numPr>
        <w:spacing w:after="80"/>
        <w:ind w:left="0"/>
        <w:rPr>
          <w:rFonts w:cstheme="minorHAnsi"/>
          <w:i/>
          <w:color w:val="000000"/>
          <w:sz w:val="24"/>
          <w:szCs w:val="24"/>
        </w:rPr>
      </w:pPr>
      <w:r w:rsidRPr="00656E53">
        <w:rPr>
          <w:rFonts w:cstheme="minorHAnsi"/>
          <w:i/>
          <w:color w:val="000000"/>
          <w:sz w:val="24"/>
          <w:szCs w:val="24"/>
        </w:rPr>
        <w:t>15 Avrieux shafts</w:t>
      </w:r>
    </w:p>
    <w:p w14:paraId="7D279528" w14:textId="77777777" w:rsidR="0074104C" w:rsidRPr="00656E53" w:rsidRDefault="00000000" w:rsidP="00656E53">
      <w:pPr>
        <w:spacing w:after="80"/>
        <w:ind w:left="360" w:right="72"/>
        <w:rPr>
          <w:rFonts w:cstheme="minorHAnsi"/>
          <w:color w:val="000000"/>
          <w:spacing w:val="-2"/>
          <w:sz w:val="24"/>
          <w:szCs w:val="24"/>
        </w:rPr>
      </w:pPr>
      <w:r w:rsidRPr="00656E53">
        <w:rPr>
          <w:rFonts w:cstheme="minorHAnsi"/>
          <w:color w:val="000000"/>
          <w:spacing w:val="-2"/>
          <w:sz w:val="24"/>
          <w:szCs w:val="24"/>
        </w:rPr>
        <w:t xml:space="preserve">This activity is around 35 M€ higher than ASR 2022 for geological difficulties that slowed its progress in </w:t>
      </w:r>
      <w:r w:rsidRPr="00656E53">
        <w:rPr>
          <w:rFonts w:cstheme="minorHAnsi"/>
          <w:color w:val="000000"/>
          <w:sz w:val="24"/>
          <w:szCs w:val="24"/>
        </w:rPr>
        <w:t>2022.</w:t>
      </w:r>
    </w:p>
    <w:p w14:paraId="72920907" w14:textId="77777777" w:rsidR="0074104C" w:rsidRPr="00656E53" w:rsidRDefault="00000000" w:rsidP="00656E53">
      <w:pPr>
        <w:numPr>
          <w:ilvl w:val="0"/>
          <w:numId w:val="3"/>
        </w:numPr>
        <w:spacing w:after="80"/>
        <w:ind w:left="0"/>
        <w:rPr>
          <w:rFonts w:cstheme="minorHAnsi"/>
          <w:i/>
          <w:color w:val="000000"/>
          <w:spacing w:val="12"/>
          <w:sz w:val="24"/>
          <w:szCs w:val="24"/>
        </w:rPr>
      </w:pPr>
      <w:r w:rsidRPr="00656E53">
        <w:rPr>
          <w:rFonts w:cstheme="minorHAnsi"/>
          <w:i/>
          <w:color w:val="000000"/>
          <w:spacing w:val="12"/>
          <w:sz w:val="24"/>
          <w:szCs w:val="24"/>
        </w:rPr>
        <w:t>23 Modane and Maddalena (o.w.5)</w:t>
      </w:r>
    </w:p>
    <w:p w14:paraId="67714827" w14:textId="77777777" w:rsidR="0074104C" w:rsidRPr="00656E53" w:rsidRDefault="00000000" w:rsidP="00656E53">
      <w:pPr>
        <w:numPr>
          <w:ilvl w:val="0"/>
          <w:numId w:val="3"/>
        </w:numPr>
        <w:spacing w:after="80"/>
        <w:ind w:left="0"/>
        <w:rPr>
          <w:rFonts w:cstheme="minorHAnsi"/>
          <w:i/>
          <w:color w:val="000000"/>
          <w:spacing w:val="12"/>
          <w:sz w:val="24"/>
          <w:szCs w:val="24"/>
          <w:lang w:val="it-IT"/>
        </w:rPr>
      </w:pPr>
      <w:r w:rsidRPr="00656E53">
        <w:rPr>
          <w:rFonts w:cstheme="minorHAnsi"/>
          <w:i/>
          <w:color w:val="000000"/>
          <w:spacing w:val="12"/>
          <w:sz w:val="24"/>
          <w:szCs w:val="24"/>
          <w:lang w:val="it-IT"/>
        </w:rPr>
        <w:t>24 La Pray-Modane (</w:t>
      </w:r>
      <w:proofErr w:type="spellStart"/>
      <w:r w:rsidRPr="00656E53">
        <w:rPr>
          <w:rFonts w:cstheme="minorHAnsi"/>
          <w:i/>
          <w:color w:val="000000"/>
          <w:spacing w:val="12"/>
          <w:sz w:val="24"/>
          <w:szCs w:val="24"/>
          <w:lang w:val="it-IT"/>
        </w:rPr>
        <w:t>o.w</w:t>
      </w:r>
      <w:proofErr w:type="spellEnd"/>
      <w:r w:rsidRPr="00656E53">
        <w:rPr>
          <w:rFonts w:cstheme="minorHAnsi"/>
          <w:i/>
          <w:color w:val="000000"/>
          <w:spacing w:val="12"/>
          <w:sz w:val="24"/>
          <w:szCs w:val="24"/>
          <w:lang w:val="it-IT"/>
        </w:rPr>
        <w:t>. 6)</w:t>
      </w:r>
    </w:p>
    <w:p w14:paraId="7FE9EEAF" w14:textId="77777777" w:rsidR="0074104C" w:rsidRPr="00656E53" w:rsidRDefault="00000000" w:rsidP="00656E53">
      <w:pPr>
        <w:numPr>
          <w:ilvl w:val="0"/>
          <w:numId w:val="3"/>
        </w:numPr>
        <w:spacing w:after="80"/>
        <w:ind w:left="0"/>
        <w:rPr>
          <w:rFonts w:cstheme="minorHAnsi"/>
          <w:i/>
          <w:color w:val="000000"/>
          <w:spacing w:val="9"/>
          <w:sz w:val="24"/>
          <w:szCs w:val="24"/>
          <w:lang w:val="fr-FR"/>
        </w:rPr>
      </w:pPr>
      <w:r w:rsidRPr="00656E53">
        <w:rPr>
          <w:rFonts w:cstheme="minorHAnsi"/>
          <w:i/>
          <w:color w:val="000000"/>
          <w:spacing w:val="9"/>
          <w:sz w:val="24"/>
          <w:szCs w:val="24"/>
          <w:lang w:val="fr-FR"/>
        </w:rPr>
        <w:t xml:space="preserve">25 St Martin la </w:t>
      </w:r>
      <w:proofErr w:type="spellStart"/>
      <w:r w:rsidRPr="00656E53">
        <w:rPr>
          <w:rFonts w:cstheme="minorHAnsi"/>
          <w:i/>
          <w:color w:val="000000"/>
          <w:spacing w:val="9"/>
          <w:sz w:val="24"/>
          <w:szCs w:val="24"/>
          <w:lang w:val="fr-FR"/>
        </w:rPr>
        <w:t>Porte-La</w:t>
      </w:r>
      <w:proofErr w:type="spellEnd"/>
      <w:r w:rsidRPr="00656E53">
        <w:rPr>
          <w:rFonts w:cstheme="minorHAnsi"/>
          <w:i/>
          <w:color w:val="000000"/>
          <w:spacing w:val="9"/>
          <w:sz w:val="24"/>
          <w:szCs w:val="24"/>
          <w:lang w:val="fr-FR"/>
        </w:rPr>
        <w:t xml:space="preserve"> Praz (o.w.7)</w:t>
      </w:r>
    </w:p>
    <w:p w14:paraId="4C76ACB4" w14:textId="77777777" w:rsidR="0074104C" w:rsidRPr="00656E53" w:rsidRDefault="00000000" w:rsidP="00656E53">
      <w:pPr>
        <w:numPr>
          <w:ilvl w:val="0"/>
          <w:numId w:val="3"/>
        </w:numPr>
        <w:spacing w:after="80"/>
        <w:ind w:left="0"/>
        <w:rPr>
          <w:rFonts w:cstheme="minorHAnsi"/>
          <w:i/>
          <w:color w:val="000000"/>
          <w:spacing w:val="5"/>
          <w:sz w:val="24"/>
          <w:szCs w:val="24"/>
        </w:rPr>
      </w:pPr>
      <w:r w:rsidRPr="00656E53">
        <w:rPr>
          <w:rFonts w:cstheme="minorHAnsi"/>
          <w:i/>
          <w:color w:val="000000"/>
          <w:spacing w:val="5"/>
          <w:sz w:val="24"/>
          <w:szCs w:val="24"/>
        </w:rPr>
        <w:t xml:space="preserve">26 St Julien </w:t>
      </w:r>
      <w:proofErr w:type="spellStart"/>
      <w:r w:rsidRPr="00656E53">
        <w:rPr>
          <w:rFonts w:cstheme="minorHAnsi"/>
          <w:i/>
          <w:color w:val="000000"/>
          <w:spacing w:val="5"/>
          <w:sz w:val="24"/>
          <w:szCs w:val="24"/>
        </w:rPr>
        <w:t>Montdenis</w:t>
      </w:r>
      <w:proofErr w:type="spellEnd"/>
      <w:r w:rsidRPr="00656E53">
        <w:rPr>
          <w:rFonts w:cstheme="minorHAnsi"/>
          <w:i/>
          <w:color w:val="000000"/>
          <w:spacing w:val="5"/>
          <w:sz w:val="24"/>
          <w:szCs w:val="24"/>
        </w:rPr>
        <w:t xml:space="preserve"> (West entrance)-Saint Martin la Porte (</w:t>
      </w:r>
      <w:proofErr w:type="spellStart"/>
      <w:r w:rsidRPr="00656E53">
        <w:rPr>
          <w:rFonts w:cstheme="minorHAnsi"/>
          <w:i/>
          <w:color w:val="000000"/>
          <w:spacing w:val="5"/>
          <w:sz w:val="24"/>
          <w:szCs w:val="24"/>
        </w:rPr>
        <w:t>o.w</w:t>
      </w:r>
      <w:proofErr w:type="spellEnd"/>
      <w:r w:rsidRPr="00656E53">
        <w:rPr>
          <w:rFonts w:cstheme="minorHAnsi"/>
          <w:i/>
          <w:color w:val="000000"/>
          <w:spacing w:val="5"/>
          <w:sz w:val="24"/>
          <w:szCs w:val="24"/>
        </w:rPr>
        <w:t>. 8)</w:t>
      </w:r>
    </w:p>
    <w:p w14:paraId="7FCC5C6A" w14:textId="77777777" w:rsidR="0074104C" w:rsidRPr="00656E53" w:rsidRDefault="00000000" w:rsidP="00656E53">
      <w:pPr>
        <w:spacing w:after="80"/>
        <w:ind w:left="360" w:right="72"/>
        <w:jc w:val="both"/>
        <w:rPr>
          <w:rFonts w:cstheme="minorHAnsi"/>
          <w:color w:val="000000"/>
          <w:spacing w:val="-3"/>
          <w:sz w:val="24"/>
          <w:szCs w:val="24"/>
        </w:rPr>
      </w:pPr>
      <w:r w:rsidRPr="00656E53">
        <w:rPr>
          <w:rFonts w:cstheme="minorHAnsi"/>
          <w:color w:val="000000"/>
          <w:spacing w:val="-3"/>
          <w:sz w:val="24"/>
          <w:szCs w:val="24"/>
        </w:rPr>
        <w:t>These activities should be seen together in particular activities 24 (</w:t>
      </w:r>
      <w:proofErr w:type="spellStart"/>
      <w:r w:rsidRPr="00656E53">
        <w:rPr>
          <w:rFonts w:cstheme="minorHAnsi"/>
          <w:color w:val="000000"/>
          <w:spacing w:val="-3"/>
          <w:sz w:val="24"/>
          <w:szCs w:val="24"/>
        </w:rPr>
        <w:t>o.w</w:t>
      </w:r>
      <w:proofErr w:type="spellEnd"/>
      <w:r w:rsidRPr="00656E53">
        <w:rPr>
          <w:rFonts w:cstheme="minorHAnsi"/>
          <w:color w:val="000000"/>
          <w:spacing w:val="-3"/>
          <w:sz w:val="24"/>
          <w:szCs w:val="24"/>
        </w:rPr>
        <w:t>. 6) and 25 (</w:t>
      </w:r>
      <w:proofErr w:type="spellStart"/>
      <w:r w:rsidRPr="00656E53">
        <w:rPr>
          <w:rFonts w:cstheme="minorHAnsi"/>
          <w:color w:val="000000"/>
          <w:spacing w:val="-3"/>
          <w:sz w:val="24"/>
          <w:szCs w:val="24"/>
        </w:rPr>
        <w:t>o.w</w:t>
      </w:r>
      <w:proofErr w:type="spellEnd"/>
      <w:r w:rsidRPr="00656E53">
        <w:rPr>
          <w:rFonts w:cstheme="minorHAnsi"/>
          <w:color w:val="000000"/>
          <w:spacing w:val="-3"/>
          <w:sz w:val="24"/>
          <w:szCs w:val="24"/>
        </w:rPr>
        <w:t xml:space="preserve">. 7) as part of the </w:t>
      </w:r>
      <w:r w:rsidRPr="00656E53">
        <w:rPr>
          <w:rFonts w:cstheme="minorHAnsi"/>
          <w:color w:val="000000"/>
          <w:spacing w:val="-2"/>
          <w:sz w:val="24"/>
          <w:szCs w:val="24"/>
        </w:rPr>
        <w:t>same contract and is up to the contractor to execute the contract within a global framework. Part of the cost for these activities (insurance) have been classified in activity 33.</w:t>
      </w:r>
    </w:p>
    <w:p w14:paraId="5E024558" w14:textId="77777777" w:rsidR="0074104C" w:rsidRPr="00656E53" w:rsidRDefault="00000000" w:rsidP="00656E53">
      <w:pPr>
        <w:numPr>
          <w:ilvl w:val="0"/>
          <w:numId w:val="3"/>
        </w:numPr>
        <w:spacing w:after="80"/>
        <w:ind w:left="0"/>
        <w:rPr>
          <w:rFonts w:cstheme="minorHAnsi"/>
          <w:i/>
          <w:color w:val="000000"/>
          <w:spacing w:val="2"/>
          <w:sz w:val="24"/>
          <w:szCs w:val="24"/>
        </w:rPr>
      </w:pPr>
      <w:r w:rsidRPr="00656E53">
        <w:rPr>
          <w:rFonts w:cstheme="minorHAnsi"/>
          <w:i/>
          <w:color w:val="000000"/>
          <w:spacing w:val="2"/>
          <w:sz w:val="24"/>
          <w:szCs w:val="24"/>
        </w:rPr>
        <w:t>31 Management of excavated materials-Italy (</w:t>
      </w:r>
      <w:proofErr w:type="spellStart"/>
      <w:r w:rsidRPr="00656E53">
        <w:rPr>
          <w:rFonts w:cstheme="minorHAnsi"/>
          <w:i/>
          <w:color w:val="000000"/>
          <w:spacing w:val="2"/>
          <w:sz w:val="24"/>
          <w:szCs w:val="24"/>
        </w:rPr>
        <w:t>o.w</w:t>
      </w:r>
      <w:proofErr w:type="spellEnd"/>
      <w:r w:rsidRPr="00656E53">
        <w:rPr>
          <w:rFonts w:cstheme="minorHAnsi"/>
          <w:i/>
          <w:color w:val="000000"/>
          <w:spacing w:val="2"/>
          <w:sz w:val="24"/>
          <w:szCs w:val="24"/>
        </w:rPr>
        <w:t>. 10)</w:t>
      </w:r>
    </w:p>
    <w:p w14:paraId="182B1E1B" w14:textId="77777777" w:rsidR="0074104C" w:rsidRPr="00656E53" w:rsidRDefault="00000000" w:rsidP="00656E53">
      <w:pPr>
        <w:spacing w:after="80"/>
        <w:ind w:left="360" w:right="72"/>
        <w:rPr>
          <w:rFonts w:cstheme="minorHAnsi"/>
          <w:color w:val="000000"/>
          <w:spacing w:val="-5"/>
          <w:sz w:val="24"/>
          <w:szCs w:val="24"/>
        </w:rPr>
      </w:pPr>
      <w:r w:rsidRPr="00656E53">
        <w:rPr>
          <w:rFonts w:cstheme="minorHAnsi"/>
          <w:color w:val="000000"/>
          <w:spacing w:val="-5"/>
          <w:sz w:val="24"/>
          <w:szCs w:val="24"/>
        </w:rPr>
        <w:t xml:space="preserve">This activity is around 12 M€ lower than ASR 2022 thanks to savings that has been made possible after a </w:t>
      </w:r>
      <w:r w:rsidRPr="00656E53">
        <w:rPr>
          <w:rFonts w:cstheme="minorHAnsi"/>
          <w:color w:val="000000"/>
          <w:spacing w:val="-1"/>
          <w:sz w:val="24"/>
          <w:szCs w:val="24"/>
        </w:rPr>
        <w:t>detailed study of the current situation of the areas involved.</w:t>
      </w:r>
    </w:p>
    <w:p w14:paraId="492EC32E" w14:textId="77777777" w:rsidR="0074104C" w:rsidRPr="00656E53" w:rsidRDefault="00000000" w:rsidP="00656E53">
      <w:pPr>
        <w:numPr>
          <w:ilvl w:val="0"/>
          <w:numId w:val="3"/>
        </w:numPr>
        <w:spacing w:after="80"/>
        <w:ind w:left="0"/>
        <w:rPr>
          <w:rFonts w:cstheme="minorHAnsi"/>
          <w:i/>
          <w:color w:val="000000"/>
          <w:spacing w:val="6"/>
          <w:sz w:val="24"/>
          <w:szCs w:val="24"/>
        </w:rPr>
      </w:pPr>
      <w:r w:rsidRPr="00656E53">
        <w:rPr>
          <w:rFonts w:cstheme="minorHAnsi"/>
          <w:i/>
          <w:color w:val="000000"/>
          <w:spacing w:val="6"/>
          <w:sz w:val="24"/>
          <w:szCs w:val="24"/>
        </w:rPr>
        <w:t>32 Management of excavated materials-France — (aw.</w:t>
      </w:r>
      <w:proofErr w:type="gramStart"/>
      <w:r w:rsidRPr="00656E53">
        <w:rPr>
          <w:rFonts w:cstheme="minorHAnsi"/>
          <w:i/>
          <w:color w:val="000000"/>
          <w:spacing w:val="6"/>
          <w:sz w:val="24"/>
          <w:szCs w:val="24"/>
        </w:rPr>
        <w:t>11 )</w:t>
      </w:r>
      <w:proofErr w:type="gramEnd"/>
    </w:p>
    <w:p w14:paraId="22029F98" w14:textId="77777777" w:rsidR="0074104C" w:rsidRPr="00656E53" w:rsidRDefault="00000000" w:rsidP="00656E53">
      <w:pPr>
        <w:spacing w:after="80"/>
        <w:ind w:left="360" w:right="72"/>
        <w:rPr>
          <w:rFonts w:cstheme="minorHAnsi"/>
          <w:color w:val="000000"/>
          <w:spacing w:val="-4"/>
          <w:sz w:val="24"/>
          <w:szCs w:val="24"/>
        </w:rPr>
      </w:pPr>
      <w:r w:rsidRPr="00656E53">
        <w:rPr>
          <w:rFonts w:cstheme="minorHAnsi"/>
          <w:color w:val="000000"/>
          <w:spacing w:val="-4"/>
          <w:sz w:val="24"/>
          <w:szCs w:val="24"/>
        </w:rPr>
        <w:t xml:space="preserve">This activity is around 27 M€ lower than ASR 2022, that was developed under different hypothesis. After </w:t>
      </w:r>
      <w:r w:rsidRPr="00656E53">
        <w:rPr>
          <w:rFonts w:cstheme="minorHAnsi"/>
          <w:color w:val="000000"/>
          <w:spacing w:val="-1"/>
          <w:sz w:val="24"/>
          <w:szCs w:val="24"/>
        </w:rPr>
        <w:t>further appraisal it has been considered to confirm the first amendment assumptions.</w:t>
      </w:r>
    </w:p>
    <w:p w14:paraId="59B14290" w14:textId="77777777" w:rsidR="0074104C" w:rsidRPr="00656E53" w:rsidRDefault="00000000" w:rsidP="00656E53">
      <w:pPr>
        <w:numPr>
          <w:ilvl w:val="0"/>
          <w:numId w:val="3"/>
        </w:numPr>
        <w:spacing w:after="80"/>
        <w:ind w:left="0"/>
        <w:rPr>
          <w:rFonts w:cstheme="minorHAnsi"/>
          <w:i/>
          <w:color w:val="000000"/>
          <w:sz w:val="24"/>
          <w:szCs w:val="24"/>
        </w:rPr>
      </w:pPr>
      <w:r w:rsidRPr="00656E53">
        <w:rPr>
          <w:rFonts w:cstheme="minorHAnsi"/>
          <w:i/>
          <w:color w:val="000000"/>
          <w:sz w:val="24"/>
          <w:szCs w:val="24"/>
        </w:rPr>
        <w:t>33 Engineering and other costs not included in other OW</w:t>
      </w:r>
    </w:p>
    <w:p w14:paraId="00537EEF" w14:textId="7E8B0D90" w:rsidR="0074104C" w:rsidRPr="00656E53" w:rsidRDefault="00000000" w:rsidP="00656E53">
      <w:pPr>
        <w:spacing w:after="80"/>
        <w:ind w:left="360" w:right="72"/>
        <w:rPr>
          <w:rFonts w:cstheme="minorHAnsi"/>
          <w:color w:val="000000"/>
          <w:spacing w:val="-2"/>
          <w:sz w:val="24"/>
          <w:szCs w:val="24"/>
        </w:rPr>
      </w:pPr>
      <w:r w:rsidRPr="00656E53">
        <w:rPr>
          <w:rFonts w:cstheme="minorHAnsi"/>
          <w:color w:val="000000"/>
          <w:spacing w:val="-4"/>
          <w:sz w:val="24"/>
          <w:szCs w:val="24"/>
        </w:rPr>
        <w:t xml:space="preserve">This activity </w:t>
      </w:r>
      <w:r w:rsidR="00CE4146" w:rsidRPr="00656E53">
        <w:rPr>
          <w:rFonts w:cstheme="minorHAnsi"/>
          <w:color w:val="000000"/>
          <w:spacing w:val="-4"/>
          <w:sz w:val="24"/>
          <w:szCs w:val="24"/>
        </w:rPr>
        <w:t>includes</w:t>
      </w:r>
      <w:r w:rsidRPr="00656E53">
        <w:rPr>
          <w:rFonts w:cstheme="minorHAnsi"/>
          <w:color w:val="000000"/>
          <w:spacing w:val="-4"/>
          <w:sz w:val="24"/>
          <w:szCs w:val="24"/>
        </w:rPr>
        <w:t xml:space="preserve"> the cost for the Construction All Risks insurance initially allocated in the main work </w:t>
      </w:r>
      <w:r w:rsidRPr="00656E53">
        <w:rPr>
          <w:rFonts w:cstheme="minorHAnsi"/>
          <w:color w:val="000000"/>
          <w:spacing w:val="-2"/>
          <w:sz w:val="24"/>
          <w:szCs w:val="24"/>
        </w:rPr>
        <w:t>contracts. It is therefore a reclassification from other activities such as 23, 24, 25 and 26.</w:t>
      </w:r>
    </w:p>
    <w:p w14:paraId="49B28D8E" w14:textId="54CB3F9F" w:rsidR="00D45A32" w:rsidRPr="00CE4146" w:rsidRDefault="00D45A32" w:rsidP="00656E53">
      <w:pPr>
        <w:spacing w:after="80"/>
        <w:ind w:right="74"/>
        <w:rPr>
          <w:rFonts w:cstheme="minorHAnsi"/>
          <w:b/>
          <w:bCs/>
          <w:color w:val="000000"/>
          <w:spacing w:val="-4"/>
          <w:sz w:val="24"/>
          <w:szCs w:val="24"/>
          <w:u w:val="single"/>
        </w:rPr>
      </w:pPr>
      <w:r w:rsidRPr="00CE4146">
        <w:rPr>
          <w:rFonts w:cstheme="minorHAnsi"/>
          <w:b/>
          <w:bCs/>
          <w:color w:val="000000"/>
          <w:spacing w:val="-4"/>
          <w:sz w:val="24"/>
          <w:szCs w:val="24"/>
          <w:u w:val="single"/>
        </w:rPr>
        <w:t>Conclusions:</w:t>
      </w:r>
    </w:p>
    <w:p w14:paraId="16ECDD43" w14:textId="4FFB6C4A" w:rsidR="0074104C" w:rsidRPr="00656E53" w:rsidRDefault="00000000" w:rsidP="00656E53">
      <w:pPr>
        <w:spacing w:after="80"/>
        <w:rPr>
          <w:rFonts w:cstheme="minorHAnsi"/>
          <w:bCs/>
          <w:color w:val="000000"/>
          <w:spacing w:val="-4"/>
          <w:sz w:val="24"/>
          <w:szCs w:val="24"/>
        </w:rPr>
      </w:pPr>
      <w:r w:rsidRPr="00656E53">
        <w:rPr>
          <w:rFonts w:cstheme="minorHAnsi"/>
          <w:bCs/>
          <w:color w:val="000000"/>
          <w:spacing w:val="-4"/>
          <w:sz w:val="24"/>
          <w:szCs w:val="24"/>
        </w:rPr>
        <w:t xml:space="preserve">With reference to the critical geopolitical and economic situation, there is no guarantee that uncontrolled </w:t>
      </w:r>
      <w:r w:rsidRPr="00656E53">
        <w:rPr>
          <w:rFonts w:cstheme="minorHAnsi"/>
          <w:bCs/>
          <w:color w:val="000000"/>
          <w:spacing w:val="-3"/>
          <w:sz w:val="24"/>
          <w:szCs w:val="24"/>
        </w:rPr>
        <w:t xml:space="preserve">price growth will not affect the </w:t>
      </w:r>
      <w:r w:rsidR="00CE4146" w:rsidRPr="00656E53">
        <w:rPr>
          <w:rFonts w:cstheme="minorHAnsi"/>
          <w:bCs/>
          <w:color w:val="000000"/>
          <w:spacing w:val="-3"/>
          <w:sz w:val="24"/>
          <w:szCs w:val="24"/>
        </w:rPr>
        <w:t>realization</w:t>
      </w:r>
      <w:r w:rsidRPr="00656E53">
        <w:rPr>
          <w:rFonts w:cstheme="minorHAnsi"/>
          <w:bCs/>
          <w:color w:val="000000"/>
          <w:spacing w:val="-3"/>
          <w:sz w:val="24"/>
          <w:szCs w:val="24"/>
        </w:rPr>
        <w:t xml:space="preserve"> of targets in the future.</w:t>
      </w:r>
    </w:p>
    <w:p w14:paraId="17F10864" w14:textId="7A304369" w:rsidR="0074104C" w:rsidRPr="00656E53" w:rsidRDefault="00000000" w:rsidP="00656E53">
      <w:pPr>
        <w:spacing w:after="80"/>
        <w:rPr>
          <w:rFonts w:cstheme="minorHAnsi"/>
          <w:bCs/>
          <w:color w:val="000000"/>
          <w:spacing w:val="-5"/>
          <w:sz w:val="24"/>
          <w:szCs w:val="24"/>
        </w:rPr>
      </w:pPr>
      <w:r w:rsidRPr="00656E53">
        <w:rPr>
          <w:rFonts w:cstheme="minorHAnsi"/>
          <w:bCs/>
          <w:color w:val="000000"/>
          <w:spacing w:val="-6"/>
          <w:sz w:val="24"/>
          <w:szCs w:val="24"/>
        </w:rPr>
        <w:t xml:space="preserve">This is a challenge that puts all promoters equally under pressure, on the various corridors, and for which </w:t>
      </w:r>
      <w:r w:rsidRPr="00656E53">
        <w:rPr>
          <w:rFonts w:cstheme="minorHAnsi"/>
          <w:bCs/>
          <w:color w:val="000000"/>
          <w:spacing w:val="-5"/>
          <w:sz w:val="24"/>
          <w:szCs w:val="24"/>
        </w:rPr>
        <w:t>general flexibility measures will perhaps have to be implemented.</w:t>
      </w:r>
      <w:r w:rsidR="00D45A32" w:rsidRPr="00656E53">
        <w:rPr>
          <w:rFonts w:cstheme="minorHAnsi"/>
          <w:bCs/>
          <w:color w:val="000000"/>
          <w:spacing w:val="-5"/>
          <w:sz w:val="24"/>
          <w:szCs w:val="24"/>
        </w:rPr>
        <w:t xml:space="preserve"> </w:t>
      </w:r>
    </w:p>
    <w:p w14:paraId="69B7A694" w14:textId="0AC02FA8" w:rsidR="00D45A32" w:rsidRDefault="00000000" w:rsidP="00D45A32">
      <w:pPr>
        <w:jc w:val="center"/>
        <w:rPr>
          <w:rFonts w:ascii="Verdana" w:hAnsi="Verdana"/>
          <w:b/>
          <w:bCs/>
          <w:lang w:val="it-IT"/>
        </w:rPr>
      </w:pPr>
      <w:r>
        <w:rPr>
          <w:rFonts w:ascii="Verdana" w:hAnsi="Verdana"/>
          <w:b/>
          <w:bCs/>
          <w:lang w:val="it-IT"/>
        </w:rPr>
        <w:pict w14:anchorId="1EE59CA8">
          <v:rect id="_x0000_i1025" style="width:0;height:1.5pt" o:hralign="center" o:hrstd="t" o:hr="t" fillcolor="#a0a0a0" stroked="f"/>
        </w:pict>
      </w:r>
    </w:p>
    <w:p w14:paraId="5694AF81" w14:textId="77777777" w:rsidR="00656E53" w:rsidRDefault="00656E53" w:rsidP="00D45A32">
      <w:pPr>
        <w:spacing w:after="120" w:line="255" w:lineRule="exact"/>
        <w:jc w:val="both"/>
        <w:rPr>
          <w:rFonts w:ascii="Verdana" w:hAnsi="Verdana"/>
          <w:b/>
          <w:color w:val="000000"/>
          <w:spacing w:val="-6"/>
          <w:lang w:val="it-IT"/>
        </w:rPr>
      </w:pPr>
    </w:p>
    <w:p w14:paraId="0DBF6684" w14:textId="77777777" w:rsidR="00656E53" w:rsidRDefault="00656E53" w:rsidP="00D45A32">
      <w:pPr>
        <w:spacing w:after="120" w:line="255" w:lineRule="exact"/>
        <w:jc w:val="both"/>
        <w:rPr>
          <w:rFonts w:ascii="Verdana" w:hAnsi="Verdana"/>
          <w:b/>
          <w:color w:val="000000"/>
          <w:spacing w:val="-6"/>
          <w:lang w:val="it-IT"/>
        </w:rPr>
      </w:pPr>
    </w:p>
    <w:p w14:paraId="7A06668C" w14:textId="77777777" w:rsidR="00656E53" w:rsidRDefault="00656E53" w:rsidP="00D45A32">
      <w:pPr>
        <w:spacing w:after="120" w:line="255" w:lineRule="exact"/>
        <w:jc w:val="both"/>
        <w:rPr>
          <w:rFonts w:ascii="Verdana" w:hAnsi="Verdana"/>
          <w:b/>
          <w:color w:val="000000"/>
          <w:spacing w:val="-6"/>
          <w:lang w:val="it-IT"/>
        </w:rPr>
      </w:pPr>
    </w:p>
    <w:p w14:paraId="5A09DCB9" w14:textId="77777777" w:rsidR="00656E53" w:rsidRPr="00656E53" w:rsidRDefault="00656E53" w:rsidP="00656E53">
      <w:pPr>
        <w:spacing w:after="120"/>
        <w:ind w:right="72"/>
        <w:jc w:val="right"/>
        <w:rPr>
          <w:rFonts w:cstheme="minorHAnsi"/>
          <w:b/>
          <w:color w:val="000000"/>
          <w:sz w:val="24"/>
          <w:szCs w:val="24"/>
        </w:rPr>
      </w:pPr>
      <w:r w:rsidRPr="00656E53">
        <w:rPr>
          <w:rFonts w:cstheme="minorHAnsi"/>
          <w:b/>
          <w:color w:val="000000"/>
          <w:sz w:val="24"/>
          <w:szCs w:val="24"/>
        </w:rPr>
        <w:lastRenderedPageBreak/>
        <w:t>Prot.n.1501.TELT_PEC_OUT.1022.DG.22</w:t>
      </w:r>
    </w:p>
    <w:p w14:paraId="206223D0" w14:textId="052FAD95" w:rsidR="00656E53" w:rsidRPr="00656E53" w:rsidRDefault="00656E53" w:rsidP="00656E53">
      <w:pPr>
        <w:spacing w:after="120"/>
        <w:jc w:val="center"/>
        <w:rPr>
          <w:rFonts w:cstheme="minorHAnsi"/>
          <w:b/>
          <w:color w:val="000000"/>
          <w:spacing w:val="-6"/>
          <w:sz w:val="24"/>
          <w:szCs w:val="24"/>
          <w:u w:val="single"/>
          <w:lang w:val="en-GB"/>
        </w:rPr>
      </w:pPr>
      <w:r w:rsidRPr="00656E53">
        <w:rPr>
          <w:rFonts w:cstheme="minorHAnsi"/>
          <w:b/>
          <w:color w:val="000000"/>
          <w:spacing w:val="-4"/>
          <w:sz w:val="24"/>
          <w:szCs w:val="24"/>
          <w:lang w:val="it-IT"/>
        </w:rPr>
        <w:t>2014-EU-TM-0401-KA</w:t>
      </w:r>
      <w:r w:rsidRPr="00656E53">
        <w:rPr>
          <w:rFonts w:cstheme="minorHAnsi"/>
          <w:b/>
          <w:color w:val="000000"/>
          <w:spacing w:val="-4"/>
          <w:sz w:val="24"/>
          <w:szCs w:val="24"/>
          <w:lang w:val="it-IT"/>
        </w:rPr>
        <w:br/>
      </w:r>
      <w:r>
        <w:rPr>
          <w:rFonts w:cstheme="minorHAnsi"/>
          <w:b/>
          <w:i/>
          <w:color w:val="000000"/>
          <w:spacing w:val="3"/>
          <w:sz w:val="24"/>
          <w:szCs w:val="24"/>
          <w:lang w:val="it-IT"/>
        </w:rPr>
        <w:t>“</w:t>
      </w:r>
      <w:r w:rsidRPr="00656E53">
        <w:rPr>
          <w:rFonts w:cstheme="minorHAnsi"/>
          <w:b/>
          <w:i/>
          <w:color w:val="000000"/>
          <w:spacing w:val="3"/>
          <w:sz w:val="24"/>
          <w:szCs w:val="24"/>
          <w:lang w:val="it-IT"/>
        </w:rPr>
        <w:t xml:space="preserve">Sezione transfrontaliera del nuovo tunnel del Mont </w:t>
      </w:r>
      <w:proofErr w:type="spellStart"/>
      <w:r w:rsidRPr="00656E53">
        <w:rPr>
          <w:rFonts w:cstheme="minorHAnsi"/>
          <w:b/>
          <w:i/>
          <w:color w:val="000000"/>
          <w:spacing w:val="3"/>
          <w:sz w:val="24"/>
          <w:szCs w:val="24"/>
          <w:lang w:val="it-IT"/>
        </w:rPr>
        <w:t>Cenis</w:t>
      </w:r>
      <w:proofErr w:type="spellEnd"/>
      <w:r w:rsidRPr="00656E53">
        <w:rPr>
          <w:rFonts w:cstheme="minorHAnsi"/>
          <w:b/>
          <w:i/>
          <w:color w:val="000000"/>
          <w:spacing w:val="3"/>
          <w:sz w:val="24"/>
          <w:szCs w:val="24"/>
          <w:lang w:val="it-IT"/>
        </w:rPr>
        <w:t xml:space="preserve"> Bose del collegamento Lione-Torino (TBM)".</w:t>
      </w:r>
      <w:r w:rsidRPr="00656E53">
        <w:rPr>
          <w:rFonts w:cstheme="minorHAnsi"/>
          <w:b/>
          <w:i/>
          <w:color w:val="000000"/>
          <w:spacing w:val="3"/>
          <w:sz w:val="24"/>
          <w:szCs w:val="24"/>
          <w:lang w:val="it-IT"/>
        </w:rPr>
        <w:br/>
      </w:r>
      <w:proofErr w:type="spellStart"/>
      <w:r w:rsidR="00D45A32" w:rsidRPr="00656E53">
        <w:rPr>
          <w:rFonts w:cstheme="minorHAnsi"/>
          <w:b/>
          <w:color w:val="000000"/>
          <w:spacing w:val="-6"/>
          <w:sz w:val="24"/>
          <w:szCs w:val="24"/>
          <w:u w:val="single"/>
          <w:lang w:val="en-GB"/>
        </w:rPr>
        <w:t>Emendamento</w:t>
      </w:r>
      <w:proofErr w:type="spellEnd"/>
      <w:r w:rsidR="00D45A32" w:rsidRPr="00656E53">
        <w:rPr>
          <w:rFonts w:cstheme="minorHAnsi"/>
          <w:b/>
          <w:color w:val="000000"/>
          <w:spacing w:val="-6"/>
          <w:sz w:val="24"/>
          <w:szCs w:val="24"/>
          <w:u w:val="single"/>
          <w:lang w:val="en-GB"/>
        </w:rPr>
        <w:t xml:space="preserve"> Progetto n. 2</w:t>
      </w:r>
    </w:p>
    <w:p w14:paraId="457E7BE5" w14:textId="6ADFA24C" w:rsidR="00D45A32" w:rsidRPr="00656E53" w:rsidRDefault="00D45A32" w:rsidP="00656E53">
      <w:pPr>
        <w:spacing w:after="120" w:line="255" w:lineRule="exact"/>
        <w:jc w:val="center"/>
        <w:rPr>
          <w:rFonts w:cstheme="minorHAnsi"/>
          <w:bCs/>
          <w:color w:val="000000"/>
          <w:spacing w:val="-6"/>
          <w:sz w:val="24"/>
          <w:szCs w:val="24"/>
          <w:lang w:val="it-IT"/>
        </w:rPr>
      </w:pPr>
      <w:r w:rsidRPr="00656E53">
        <w:rPr>
          <w:rFonts w:cstheme="minorHAnsi"/>
          <w:bCs/>
          <w:color w:val="000000"/>
          <w:spacing w:val="-6"/>
          <w:sz w:val="24"/>
          <w:szCs w:val="24"/>
          <w:lang w:val="it-IT"/>
        </w:rPr>
        <w:t>(versione 27.09.22)</w:t>
      </w:r>
    </w:p>
    <w:p w14:paraId="2063CAE6" w14:textId="77777777" w:rsidR="00D45A32" w:rsidRPr="00CE4146" w:rsidRDefault="00D45A32" w:rsidP="00D45A32">
      <w:pPr>
        <w:spacing w:after="120" w:line="255" w:lineRule="exact"/>
        <w:jc w:val="both"/>
        <w:rPr>
          <w:rFonts w:ascii="Verdana" w:hAnsi="Verdana"/>
          <w:b/>
          <w:color w:val="000000"/>
          <w:spacing w:val="-6"/>
          <w:u w:val="single"/>
          <w:lang w:val="it-IT"/>
        </w:rPr>
      </w:pPr>
      <w:r w:rsidRPr="00CE4146">
        <w:rPr>
          <w:rFonts w:ascii="Verdana" w:hAnsi="Verdana"/>
          <w:b/>
          <w:color w:val="000000"/>
          <w:spacing w:val="-6"/>
          <w:u w:val="single"/>
          <w:lang w:val="it-IT"/>
        </w:rPr>
        <w:t>Premessa:</w:t>
      </w:r>
    </w:p>
    <w:p w14:paraId="2F6B90B4"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La presente nota intende contribuire al dibattito in corso tra gli Stati con il supporto di TELT in merito alla definizione dell'attuale Emendamento n. 2 al Grant Agreement.</w:t>
      </w:r>
    </w:p>
    <w:p w14:paraId="4C9B173E" w14:textId="55B81303"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In sintesi, l'Accordo di sovvenzione attualmente in vigore stabilisce un contributo finanziario dell'Unione Europea fino a un importo massimo di 813.781.900 euro per i due beneficiari, il MIMS (Ministero Belle Infrastrutture e della Mobilità Sostenibile) e il MTECT (</w:t>
      </w:r>
      <w:proofErr w:type="spellStart"/>
      <w:r w:rsidRPr="002C7A64">
        <w:rPr>
          <w:rFonts w:ascii="Verdana" w:hAnsi="Verdana"/>
          <w:bCs/>
          <w:color w:val="000000"/>
          <w:spacing w:val="-6"/>
          <w:lang w:val="it-IT"/>
        </w:rPr>
        <w:t>Minist</w:t>
      </w:r>
      <w:r>
        <w:rPr>
          <w:rFonts w:ascii="Verdana" w:hAnsi="Verdana"/>
          <w:bCs/>
          <w:color w:val="000000"/>
          <w:spacing w:val="-6"/>
          <w:lang w:val="it-IT"/>
        </w:rPr>
        <w:t>è</w:t>
      </w:r>
      <w:r w:rsidRPr="002C7A64">
        <w:rPr>
          <w:rFonts w:ascii="Verdana" w:hAnsi="Verdana"/>
          <w:bCs/>
          <w:color w:val="000000"/>
          <w:spacing w:val="-6"/>
          <w:lang w:val="it-IT"/>
        </w:rPr>
        <w:t>re</w:t>
      </w:r>
      <w:proofErr w:type="spellEnd"/>
      <w:r w:rsidRPr="002C7A64">
        <w:rPr>
          <w:rFonts w:ascii="Verdana" w:hAnsi="Verdana"/>
          <w:bCs/>
          <w:color w:val="000000"/>
          <w:spacing w:val="-6"/>
          <w:lang w:val="it-IT"/>
        </w:rPr>
        <w:t xml:space="preserve"> de </w:t>
      </w:r>
      <w:r>
        <w:rPr>
          <w:rFonts w:ascii="Verdana" w:hAnsi="Verdana"/>
          <w:bCs/>
          <w:color w:val="000000"/>
          <w:spacing w:val="-6"/>
          <w:lang w:val="it-IT"/>
        </w:rPr>
        <w:t>l</w:t>
      </w:r>
      <w:r w:rsidRPr="002C7A64">
        <w:rPr>
          <w:rFonts w:ascii="Verdana" w:hAnsi="Verdana"/>
          <w:bCs/>
          <w:color w:val="000000"/>
          <w:spacing w:val="-6"/>
          <w:lang w:val="it-IT"/>
        </w:rPr>
        <w:t xml:space="preserve">a </w:t>
      </w:r>
      <w:proofErr w:type="spellStart"/>
      <w:r w:rsidRPr="002C7A64">
        <w:rPr>
          <w:rFonts w:ascii="Verdana" w:hAnsi="Verdana"/>
          <w:bCs/>
          <w:color w:val="000000"/>
          <w:spacing w:val="-6"/>
          <w:lang w:val="it-IT"/>
        </w:rPr>
        <w:t>Transition</w:t>
      </w:r>
      <w:proofErr w:type="spellEnd"/>
      <w:r w:rsidRPr="002C7A64">
        <w:rPr>
          <w:rFonts w:ascii="Verdana" w:hAnsi="Verdana"/>
          <w:bCs/>
          <w:color w:val="000000"/>
          <w:spacing w:val="-6"/>
          <w:lang w:val="it-IT"/>
        </w:rPr>
        <w:t xml:space="preserve"> </w:t>
      </w:r>
      <w:proofErr w:type="spellStart"/>
      <w:r>
        <w:rPr>
          <w:rFonts w:ascii="Verdana" w:hAnsi="Verdana"/>
          <w:bCs/>
          <w:color w:val="000000"/>
          <w:spacing w:val="-6"/>
          <w:lang w:val="it-IT"/>
        </w:rPr>
        <w:t>é</w:t>
      </w:r>
      <w:r w:rsidRPr="002C7A64">
        <w:rPr>
          <w:rFonts w:ascii="Verdana" w:hAnsi="Verdana"/>
          <w:bCs/>
          <w:color w:val="000000"/>
          <w:spacing w:val="-6"/>
          <w:lang w:val="it-IT"/>
        </w:rPr>
        <w:t>cologique</w:t>
      </w:r>
      <w:proofErr w:type="spellEnd"/>
      <w:r w:rsidRPr="002C7A64">
        <w:rPr>
          <w:rFonts w:ascii="Verdana" w:hAnsi="Verdana"/>
          <w:bCs/>
          <w:color w:val="000000"/>
          <w:spacing w:val="-6"/>
          <w:lang w:val="it-IT"/>
        </w:rPr>
        <w:t xml:space="preserve"> et de </w:t>
      </w:r>
      <w:r w:rsidR="00CE4146">
        <w:rPr>
          <w:rFonts w:ascii="Verdana" w:hAnsi="Verdana"/>
          <w:bCs/>
          <w:color w:val="000000"/>
          <w:spacing w:val="-6"/>
          <w:lang w:val="it-IT"/>
        </w:rPr>
        <w:t>l</w:t>
      </w:r>
      <w:r w:rsidRPr="002C7A64">
        <w:rPr>
          <w:rFonts w:ascii="Verdana" w:hAnsi="Verdana"/>
          <w:bCs/>
          <w:color w:val="000000"/>
          <w:spacing w:val="-6"/>
          <w:lang w:val="it-IT"/>
        </w:rPr>
        <w:t xml:space="preserve">a </w:t>
      </w:r>
      <w:proofErr w:type="spellStart"/>
      <w:r w:rsidRPr="002C7A64">
        <w:rPr>
          <w:rFonts w:ascii="Verdana" w:hAnsi="Verdana"/>
          <w:bCs/>
          <w:color w:val="000000"/>
          <w:spacing w:val="-6"/>
          <w:lang w:val="it-IT"/>
        </w:rPr>
        <w:t>Coh</w:t>
      </w:r>
      <w:r>
        <w:rPr>
          <w:rFonts w:ascii="Verdana" w:hAnsi="Verdana"/>
          <w:bCs/>
          <w:color w:val="000000"/>
          <w:spacing w:val="-6"/>
          <w:lang w:val="it-IT"/>
        </w:rPr>
        <w:t>é</w:t>
      </w:r>
      <w:r w:rsidRPr="002C7A64">
        <w:rPr>
          <w:rFonts w:ascii="Verdana" w:hAnsi="Verdana"/>
          <w:bCs/>
          <w:color w:val="000000"/>
          <w:spacing w:val="-6"/>
          <w:lang w:val="it-IT"/>
        </w:rPr>
        <w:t>sion</w:t>
      </w:r>
      <w:proofErr w:type="spellEnd"/>
      <w:r w:rsidRPr="002C7A64">
        <w:rPr>
          <w:rFonts w:ascii="Verdana" w:hAnsi="Verdana"/>
          <w:bCs/>
          <w:color w:val="000000"/>
          <w:spacing w:val="-6"/>
          <w:lang w:val="it-IT"/>
        </w:rPr>
        <w:t xml:space="preserve"> </w:t>
      </w:r>
      <w:proofErr w:type="spellStart"/>
      <w:r w:rsidRPr="002C7A64">
        <w:rPr>
          <w:rFonts w:ascii="Verdana" w:hAnsi="Verdana"/>
          <w:bCs/>
          <w:color w:val="000000"/>
          <w:spacing w:val="-6"/>
          <w:lang w:val="it-IT"/>
        </w:rPr>
        <w:t>des</w:t>
      </w:r>
      <w:proofErr w:type="spellEnd"/>
      <w:r w:rsidRPr="002C7A64">
        <w:rPr>
          <w:rFonts w:ascii="Verdana" w:hAnsi="Verdana"/>
          <w:bCs/>
          <w:color w:val="000000"/>
          <w:spacing w:val="-6"/>
          <w:lang w:val="it-IT"/>
        </w:rPr>
        <w:t xml:space="preserve"> </w:t>
      </w:r>
      <w:proofErr w:type="spellStart"/>
      <w:r w:rsidRPr="002C7A64">
        <w:rPr>
          <w:rFonts w:ascii="Verdana" w:hAnsi="Verdana"/>
          <w:bCs/>
          <w:color w:val="000000"/>
          <w:spacing w:val="-6"/>
          <w:lang w:val="it-IT"/>
        </w:rPr>
        <w:t>territoires</w:t>
      </w:r>
      <w:proofErr w:type="spellEnd"/>
      <w:r w:rsidRPr="002C7A64">
        <w:rPr>
          <w:rFonts w:ascii="Verdana" w:hAnsi="Verdana"/>
          <w:bCs/>
          <w:color w:val="000000"/>
          <w:spacing w:val="-6"/>
          <w:lang w:val="it-IT"/>
        </w:rPr>
        <w:t xml:space="preserve">), per la "Sezione transfrontaliera del Nuovo Tunnel di Base del Mont </w:t>
      </w:r>
      <w:proofErr w:type="spellStart"/>
      <w:r w:rsidRPr="002C7A64">
        <w:rPr>
          <w:rFonts w:ascii="Verdana" w:hAnsi="Verdana"/>
          <w:bCs/>
          <w:color w:val="000000"/>
          <w:spacing w:val="-6"/>
          <w:lang w:val="it-IT"/>
        </w:rPr>
        <w:t>Cenis</w:t>
      </w:r>
      <w:proofErr w:type="spellEnd"/>
      <w:r w:rsidRPr="002C7A64">
        <w:rPr>
          <w:rFonts w:ascii="Verdana" w:hAnsi="Verdana"/>
          <w:bCs/>
          <w:color w:val="000000"/>
          <w:spacing w:val="-6"/>
          <w:lang w:val="it-IT"/>
        </w:rPr>
        <w:t xml:space="preserve"> del collegamento ferroviario Lione-Torino (TBM)", per compensare i costi ammissibili stimati di 1.915.054.750 euro. 915.054.750 euro (50% delle attività di studio sovvenzionate e 40% dei lavori effettivi), nel periodo compreso tra il 01/01/2014 e il 31/12/2022.</w:t>
      </w:r>
    </w:p>
    <w:p w14:paraId="74D774CB"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Si ricorda che questo contratto è il risultato di una prima estensione, di tre anni, condivisa tra gli Stati, la Commissione europea e il CINEA nelle prime settimane del 2020 e approvata con la firma dell'Emendamento n. 1 il 17 aprile 2020. L'Emendamento n. 1 è stato formalizzato con lo stesso contributo e gli stessi costi ammissibili e con una definizione molto più dettagliata del perimetro di competenza rispetto al contratto originale.</w:t>
      </w:r>
    </w:p>
    <w:p w14:paraId="08A896B2" w14:textId="77777777" w:rsidR="00D45A32" w:rsidRPr="00CE4146" w:rsidRDefault="00D45A32" w:rsidP="00D45A32">
      <w:pPr>
        <w:spacing w:after="120" w:line="255" w:lineRule="exact"/>
        <w:jc w:val="both"/>
        <w:rPr>
          <w:rFonts w:ascii="Verdana" w:hAnsi="Verdana"/>
          <w:b/>
          <w:color w:val="000000"/>
          <w:spacing w:val="-6"/>
          <w:u w:val="single"/>
          <w:lang w:val="it-IT"/>
        </w:rPr>
      </w:pPr>
      <w:r w:rsidRPr="00CE4146">
        <w:rPr>
          <w:rFonts w:ascii="Verdana" w:hAnsi="Verdana"/>
          <w:b/>
          <w:color w:val="000000"/>
          <w:spacing w:val="-6"/>
          <w:u w:val="single"/>
          <w:lang w:val="it-IT"/>
        </w:rPr>
        <w:t xml:space="preserve">Perché un testo aggiuntivo n. 2: </w:t>
      </w:r>
    </w:p>
    <w:p w14:paraId="46A9E362"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Nelle settimane immediatamente successive alla definizione dell'emendamento n. 1, gli effetti della crisi pandemica globale hanno comportato un rallentamento delle attività, anche se mai del tutto interrotte, sia in Francia che in Italia. Ciò ha comportato il rinvio di alcuni lavori in corso e delle attività del Promotore Pubblico.</w:t>
      </w:r>
    </w:p>
    <w:p w14:paraId="7E8513B2"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Tali effetti sono ovviamente validi a livello globale e hanno interessato i principali progetti TEN-T, il che ha indotto la Commissione europea ad aprire la possibilità di una proroga.</w:t>
      </w:r>
    </w:p>
    <w:p w14:paraId="52517F7C"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Inoltre, per il progetto TELT è necessario considerare altri elementi:</w:t>
      </w:r>
    </w:p>
    <w:p w14:paraId="1B94A093"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nel 2021 è avvenuta la firma dei contratti per le opere di ingegneria civile del tunnel di base sul lato francese, in particolare per quanto riguarda 3 contratti:</w:t>
      </w:r>
    </w:p>
    <w:p w14:paraId="2FE0E9CA"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xml:space="preserve">Lotto 1 - Cantiere operativo 5 - scavo del tunnel di base tra Villarodin-Bourget Modane e Maddalena (attività GA n. 23) </w:t>
      </w:r>
    </w:p>
    <w:p w14:paraId="6275C1AC"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Lotto 2 - Cantieri operativi 6/7 - scavo del tunnel di base tra Saint Martine is Porte e Villarodin-Bourget Modane (attività GA n. 24 - 25)</w:t>
      </w:r>
    </w:p>
    <w:p w14:paraId="5A93D4C6"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xml:space="preserve">Lotto 3 - Cantiere operativo 8 - scavo del tunnel di base tra l'ingresso ovest e Saint Martin </w:t>
      </w:r>
      <w:proofErr w:type="spellStart"/>
      <w:r w:rsidRPr="002C7A64">
        <w:rPr>
          <w:rFonts w:ascii="Verdana" w:hAnsi="Verdana"/>
          <w:bCs/>
          <w:color w:val="000000"/>
          <w:spacing w:val="-6"/>
          <w:lang w:val="it-IT"/>
        </w:rPr>
        <w:t>Ia</w:t>
      </w:r>
      <w:proofErr w:type="spellEnd"/>
      <w:r w:rsidRPr="002C7A64">
        <w:rPr>
          <w:rFonts w:ascii="Verdana" w:hAnsi="Verdana"/>
          <w:bCs/>
          <w:color w:val="000000"/>
          <w:spacing w:val="-6"/>
          <w:lang w:val="it-IT"/>
        </w:rPr>
        <w:t xml:space="preserve"> Porte (attività GA n. 26).</w:t>
      </w:r>
    </w:p>
    <w:p w14:paraId="7456A258"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Gli importi di questi appalti e i relativi programmi di lavoro hanno quindi formalmente sostituito le previsioni progettuali del PRF, su cui si era basata la Sovvenzione fino a quel momento.</w:t>
      </w:r>
    </w:p>
    <w:p w14:paraId="3A9EF1D2"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La gara d'appalto per i pozzi di Avrieux (attività GA n. 15), sul percorso critico dopo l'autorizzazione del Consiglio di amministrazione nel maggio 2020 e la firma del contratto, ha incontrato difficoltà geologiche impreviste che ne hanno rallentato l'avanzamento nel 2022;</w:t>
      </w:r>
    </w:p>
    <w:p w14:paraId="7EAFD5D5"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xml:space="preserve">- Il recente aumento generalizzato dei prezzi delle materie prime a livello mondiale, presumibilmente legato prima a Covid e poi alla guerra in Ucraina, ha particolarmente e poi alla guerra in Ucraina, ha inciso particolarmente sugli appalti, in particolare, nelle opere in  gestione, regolati dalla legge italiana, che hanno richiesto da un lato l'applicazione del cosiddetto "Decreto aiuti" per aggiornare i listini di riferimento e dall'altro una variante </w:t>
      </w:r>
      <w:r w:rsidRPr="002C7A64">
        <w:rPr>
          <w:rFonts w:ascii="Verdana" w:hAnsi="Verdana"/>
          <w:bCs/>
          <w:color w:val="000000"/>
          <w:spacing w:val="-6"/>
          <w:lang w:val="it-IT"/>
        </w:rPr>
        <w:lastRenderedPageBreak/>
        <w:t>regolata dall'articolo 169 (DLG5_163 / 2006) che sarà inviata ai Ministeri interessati come passo preliminare all'aggiornamento degli accordi esistenti (attività GA n. 10 -11).</w:t>
      </w:r>
    </w:p>
    <w:p w14:paraId="3AAB56B2"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Tutto ciò porta alla necessità di rivedere il programma di lavoro su cui si basa l'Accordo di sovvenzione, garantendo al contempo il pieno utilizzo dei fondi disponibili.</w:t>
      </w:r>
    </w:p>
    <w:p w14:paraId="5A29D07E" w14:textId="11BE4C6F" w:rsidR="00D45A32" w:rsidRPr="00CE4146" w:rsidRDefault="00D45A32" w:rsidP="00D45A32">
      <w:pPr>
        <w:spacing w:after="120" w:line="255" w:lineRule="exact"/>
        <w:jc w:val="both"/>
        <w:rPr>
          <w:rFonts w:ascii="Verdana" w:hAnsi="Verdana"/>
          <w:b/>
          <w:color w:val="000000"/>
          <w:spacing w:val="-6"/>
          <w:u w:val="single"/>
          <w:lang w:val="it-IT"/>
        </w:rPr>
      </w:pPr>
      <w:r w:rsidRPr="00CE4146">
        <w:rPr>
          <w:rFonts w:ascii="Verdana" w:hAnsi="Verdana"/>
          <w:b/>
          <w:color w:val="000000"/>
          <w:spacing w:val="-6"/>
          <w:u w:val="single"/>
          <w:lang w:val="it-IT"/>
        </w:rPr>
        <w:t>L'ambito dell'Emendamento n. 2</w:t>
      </w:r>
      <w:r w:rsidR="00CE4146" w:rsidRPr="00CE4146">
        <w:rPr>
          <w:rFonts w:ascii="Verdana" w:hAnsi="Verdana"/>
          <w:b/>
          <w:color w:val="000000"/>
          <w:spacing w:val="-6"/>
          <w:u w:val="single"/>
          <w:lang w:val="it-IT"/>
        </w:rPr>
        <w:t>:</w:t>
      </w:r>
      <w:r w:rsidRPr="00CE4146">
        <w:rPr>
          <w:rFonts w:ascii="Verdana" w:hAnsi="Verdana"/>
          <w:b/>
          <w:color w:val="000000"/>
          <w:spacing w:val="-6"/>
          <w:u w:val="single"/>
          <w:lang w:val="it-IT"/>
        </w:rPr>
        <w:t xml:space="preserve"> </w:t>
      </w:r>
    </w:p>
    <w:p w14:paraId="113045D9" w14:textId="77777777" w:rsidR="00D45A32" w:rsidRPr="002C7A64" w:rsidRDefault="00D45A32" w:rsidP="00D45A32">
      <w:pPr>
        <w:spacing w:after="120" w:line="255" w:lineRule="exact"/>
        <w:jc w:val="both"/>
        <w:rPr>
          <w:rFonts w:ascii="Verdana" w:hAnsi="Verdana"/>
          <w:bCs/>
          <w:color w:val="000000"/>
          <w:spacing w:val="-6"/>
          <w:lang w:val="it-IT"/>
        </w:rPr>
      </w:pPr>
      <w:r w:rsidRPr="00C857D6">
        <w:rPr>
          <w:rFonts w:ascii="Verdana" w:hAnsi="Verdana"/>
          <w:b/>
          <w:color w:val="000000"/>
          <w:spacing w:val="-6"/>
          <w:lang w:val="it-IT"/>
        </w:rPr>
        <w:t>Pur confermando la capacità del progetto di raggiungere i principali obiettivi di produzione rappresentati dalla Sovvenzione per quanto riguarda le 33 attività</w:t>
      </w:r>
      <w:r w:rsidRPr="002C7A64">
        <w:rPr>
          <w:rFonts w:ascii="Verdana" w:hAnsi="Verdana"/>
          <w:bCs/>
          <w:color w:val="000000"/>
          <w:spacing w:val="-6"/>
          <w:lang w:val="it-IT"/>
        </w:rPr>
        <w:t>, è necessario considerare che, in questo secondo emendamento, ci sono piccoli aggiustamenti rispetto all'ASR 2022.</w:t>
      </w:r>
    </w:p>
    <w:p w14:paraId="03F441AB"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Le principali differenze tra la proposta di emendamento e l'ASR 2022 sono:</w:t>
      </w:r>
    </w:p>
    <w:p w14:paraId="4C87FA90"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- 4 Attività esplorative dal piede delle gallerie di accesso di Saint-Martin-la-Porte</w:t>
      </w:r>
    </w:p>
    <w:p w14:paraId="17A43E0E"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Questa attività può essere considerata realizzata con costi più elevati rispetto al primo emendamento a causa dei problemi geologici incontrati nella sezione più complessa del tunnel, ma poiché alcuni rischi inclusi nell'ASR 2022 non si sono concretizzati, l'emendamento registra una diminuzione di 15 M€ rispetto a quanto dichiarato in marzo.</w:t>
      </w:r>
    </w:p>
    <w:p w14:paraId="12ED6D77"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- 6 TEL T Spese amministrative per lavori</w:t>
      </w:r>
    </w:p>
    <w:p w14:paraId="398D218F"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Questa attività è superiore di circa 31 milioni di euro rispetto all'ASR 2022 in quanto, a marzo, era prevista la partecipazione al bando CEF 2022.</w:t>
      </w:r>
    </w:p>
    <w:p w14:paraId="764D2EAE"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- 15 Pozzi di Avrieux</w:t>
      </w:r>
    </w:p>
    <w:p w14:paraId="0A04D136"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Questa attività è superiore di circa 35 milioni di euro rispetto all'ASR 2022 per le difficoltà geologiche che ne hanno rallentato l'avanzamento nel 2022.</w:t>
      </w:r>
    </w:p>
    <w:p w14:paraId="75DAABCD"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- 23 Modane e Maddalena (o.w.5)</w:t>
      </w:r>
    </w:p>
    <w:p w14:paraId="60FDD799"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- 24 La Pray-Modane (</w:t>
      </w:r>
      <w:proofErr w:type="spellStart"/>
      <w:r w:rsidRPr="002C7A64">
        <w:rPr>
          <w:rFonts w:ascii="Verdana" w:hAnsi="Verdana"/>
          <w:bCs/>
          <w:color w:val="000000"/>
          <w:spacing w:val="-6"/>
          <w:lang w:val="it-IT"/>
        </w:rPr>
        <w:t>o.w</w:t>
      </w:r>
      <w:proofErr w:type="spellEnd"/>
      <w:r w:rsidRPr="002C7A64">
        <w:rPr>
          <w:rFonts w:ascii="Verdana" w:hAnsi="Verdana"/>
          <w:bCs/>
          <w:color w:val="000000"/>
          <w:spacing w:val="-6"/>
          <w:lang w:val="it-IT"/>
        </w:rPr>
        <w:t>. 6)</w:t>
      </w:r>
    </w:p>
    <w:p w14:paraId="0544F9CD" w14:textId="77777777" w:rsidR="00D45A32" w:rsidRPr="002C7A64" w:rsidRDefault="00D45A32" w:rsidP="00D45A32">
      <w:pPr>
        <w:spacing w:after="120" w:line="255" w:lineRule="exact"/>
        <w:jc w:val="both"/>
        <w:rPr>
          <w:rFonts w:ascii="Verdana" w:hAnsi="Verdana"/>
          <w:bCs/>
          <w:color w:val="000000"/>
          <w:spacing w:val="-6"/>
          <w:lang w:val="fr-FR"/>
        </w:rPr>
      </w:pPr>
      <w:r w:rsidRPr="002C7A64">
        <w:rPr>
          <w:rFonts w:ascii="Verdana" w:hAnsi="Verdana"/>
          <w:bCs/>
          <w:color w:val="000000"/>
          <w:spacing w:val="-6"/>
          <w:lang w:val="fr-FR"/>
        </w:rPr>
        <w:t xml:space="preserve">- 25 St Martin la </w:t>
      </w:r>
      <w:proofErr w:type="spellStart"/>
      <w:r w:rsidRPr="002C7A64">
        <w:rPr>
          <w:rFonts w:ascii="Verdana" w:hAnsi="Verdana"/>
          <w:bCs/>
          <w:color w:val="000000"/>
          <w:spacing w:val="-6"/>
          <w:lang w:val="fr-FR"/>
        </w:rPr>
        <w:t>Porte-La</w:t>
      </w:r>
      <w:proofErr w:type="spellEnd"/>
      <w:r w:rsidRPr="002C7A64">
        <w:rPr>
          <w:rFonts w:ascii="Verdana" w:hAnsi="Verdana"/>
          <w:bCs/>
          <w:color w:val="000000"/>
          <w:spacing w:val="-6"/>
          <w:lang w:val="fr-FR"/>
        </w:rPr>
        <w:t xml:space="preserve"> Praz (o.w.7)</w:t>
      </w:r>
    </w:p>
    <w:p w14:paraId="422FF28F" w14:textId="0440235B"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xml:space="preserve">- 26 St Julien </w:t>
      </w:r>
      <w:proofErr w:type="spellStart"/>
      <w:r w:rsidRPr="002C7A64">
        <w:rPr>
          <w:rFonts w:ascii="Verdana" w:hAnsi="Verdana"/>
          <w:bCs/>
          <w:color w:val="000000"/>
          <w:spacing w:val="-6"/>
          <w:lang w:val="it-IT"/>
        </w:rPr>
        <w:t>Montdenis</w:t>
      </w:r>
      <w:proofErr w:type="spellEnd"/>
      <w:r w:rsidRPr="002C7A64">
        <w:rPr>
          <w:rFonts w:ascii="Verdana" w:hAnsi="Verdana"/>
          <w:bCs/>
          <w:color w:val="000000"/>
          <w:spacing w:val="-6"/>
          <w:lang w:val="it-IT"/>
        </w:rPr>
        <w:t xml:space="preserve"> (ingresso ovest)</w:t>
      </w:r>
      <w:r w:rsidR="00656E53">
        <w:rPr>
          <w:rFonts w:ascii="Verdana" w:hAnsi="Verdana"/>
          <w:bCs/>
          <w:color w:val="000000"/>
          <w:spacing w:val="-6"/>
          <w:lang w:val="it-IT"/>
        </w:rPr>
        <w:t xml:space="preserve"> </w:t>
      </w:r>
      <w:r w:rsidRPr="002C7A64">
        <w:rPr>
          <w:rFonts w:ascii="Verdana" w:hAnsi="Verdana"/>
          <w:bCs/>
          <w:color w:val="000000"/>
          <w:spacing w:val="-6"/>
          <w:lang w:val="it-IT"/>
        </w:rPr>
        <w:t>-</w:t>
      </w:r>
      <w:r w:rsidR="00656E53">
        <w:rPr>
          <w:rFonts w:ascii="Verdana" w:hAnsi="Verdana"/>
          <w:bCs/>
          <w:color w:val="000000"/>
          <w:spacing w:val="-6"/>
          <w:lang w:val="it-IT"/>
        </w:rPr>
        <w:t xml:space="preserve"> </w:t>
      </w:r>
      <w:r w:rsidRPr="002C7A64">
        <w:rPr>
          <w:rFonts w:ascii="Verdana" w:hAnsi="Verdana"/>
          <w:bCs/>
          <w:color w:val="000000"/>
          <w:spacing w:val="-6"/>
          <w:lang w:val="it-IT"/>
        </w:rPr>
        <w:t>Saint Martin la Porte (</w:t>
      </w:r>
      <w:proofErr w:type="spellStart"/>
      <w:r w:rsidRPr="002C7A64">
        <w:rPr>
          <w:rFonts w:ascii="Verdana" w:hAnsi="Verdana"/>
          <w:bCs/>
          <w:color w:val="000000"/>
          <w:spacing w:val="-6"/>
          <w:lang w:val="it-IT"/>
        </w:rPr>
        <w:t>o.w</w:t>
      </w:r>
      <w:proofErr w:type="spellEnd"/>
      <w:r w:rsidRPr="002C7A64">
        <w:rPr>
          <w:rFonts w:ascii="Verdana" w:hAnsi="Verdana"/>
          <w:bCs/>
          <w:color w:val="000000"/>
          <w:spacing w:val="-6"/>
          <w:lang w:val="it-IT"/>
        </w:rPr>
        <w:t>. 8)</w:t>
      </w:r>
    </w:p>
    <w:p w14:paraId="44791D8F"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Queste attività devono essere considerate insieme, in particolare le attività 24 (</w:t>
      </w:r>
      <w:proofErr w:type="spellStart"/>
      <w:r w:rsidRPr="002C7A64">
        <w:rPr>
          <w:rFonts w:ascii="Verdana" w:hAnsi="Verdana"/>
          <w:bCs/>
          <w:color w:val="000000"/>
          <w:spacing w:val="-6"/>
          <w:lang w:val="it-IT"/>
        </w:rPr>
        <w:t>o.w</w:t>
      </w:r>
      <w:proofErr w:type="spellEnd"/>
      <w:r w:rsidRPr="002C7A64">
        <w:rPr>
          <w:rFonts w:ascii="Verdana" w:hAnsi="Verdana"/>
          <w:bCs/>
          <w:color w:val="000000"/>
          <w:spacing w:val="-6"/>
          <w:lang w:val="it-IT"/>
        </w:rPr>
        <w:t>. 6) e 25 (</w:t>
      </w:r>
      <w:proofErr w:type="spellStart"/>
      <w:r w:rsidRPr="002C7A64">
        <w:rPr>
          <w:rFonts w:ascii="Verdana" w:hAnsi="Verdana"/>
          <w:bCs/>
          <w:color w:val="000000"/>
          <w:spacing w:val="-6"/>
          <w:lang w:val="it-IT"/>
        </w:rPr>
        <w:t>o.w</w:t>
      </w:r>
      <w:proofErr w:type="spellEnd"/>
      <w:r w:rsidRPr="002C7A64">
        <w:rPr>
          <w:rFonts w:ascii="Verdana" w:hAnsi="Verdana"/>
          <w:bCs/>
          <w:color w:val="000000"/>
          <w:spacing w:val="-6"/>
          <w:lang w:val="it-IT"/>
        </w:rPr>
        <w:t>. 7), come parte dello stesso contratto e spetta all'appaltatore eseguire il contratto in un quadro globale. Parte dei costi per queste attività (assicurazione) sono stati classificati nell'attività 33.</w:t>
      </w:r>
    </w:p>
    <w:p w14:paraId="756FC6F8"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- 31 Gestione dei materiali di scavo - Italia (</w:t>
      </w:r>
      <w:proofErr w:type="spellStart"/>
      <w:r w:rsidRPr="002C7A64">
        <w:rPr>
          <w:rFonts w:ascii="Verdana" w:hAnsi="Verdana"/>
          <w:bCs/>
          <w:color w:val="000000"/>
          <w:spacing w:val="-6"/>
          <w:lang w:val="it-IT"/>
        </w:rPr>
        <w:t>o.w</w:t>
      </w:r>
      <w:proofErr w:type="spellEnd"/>
      <w:r w:rsidRPr="002C7A64">
        <w:rPr>
          <w:rFonts w:ascii="Verdana" w:hAnsi="Verdana"/>
          <w:bCs/>
          <w:color w:val="000000"/>
          <w:spacing w:val="-6"/>
          <w:lang w:val="it-IT"/>
        </w:rPr>
        <w:t>. 10)</w:t>
      </w:r>
    </w:p>
    <w:p w14:paraId="5C3117FF"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Questa attività è inferiore di circa 12 milioni di euro rispetto all'ASR 2022 grazie ai risparmi che sono stati resi possibili dopo uno studio dettagliato della situazione attuale delle aree interessate.</w:t>
      </w:r>
    </w:p>
    <w:p w14:paraId="62726DDF"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- 32 Gestione dei materiali di scavo-Francia - (</w:t>
      </w:r>
      <w:proofErr w:type="gramStart"/>
      <w:r w:rsidRPr="002C7A64">
        <w:rPr>
          <w:rFonts w:ascii="Verdana" w:hAnsi="Verdana"/>
          <w:bCs/>
          <w:color w:val="000000"/>
          <w:spacing w:val="-6"/>
          <w:lang w:val="it-IT"/>
        </w:rPr>
        <w:t>aw.11 )</w:t>
      </w:r>
      <w:proofErr w:type="gramEnd"/>
    </w:p>
    <w:p w14:paraId="5AEDF4DA"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Questa attività è inferiore di circa 27 milioni di euro rispetto all'ASR 2022, che era stata sviluppata sotto diverse ipotesi. Dopo ulteriori valutazioni, si è ritenuto di confermare le ipotesi del primo emendamento.</w:t>
      </w:r>
    </w:p>
    <w:p w14:paraId="75D73E29"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- 33 Costi di ingegneria e altri costi non inclusi in altri OW</w:t>
      </w:r>
    </w:p>
    <w:p w14:paraId="5D78AB78" w14:textId="77777777" w:rsidR="00D45A32"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Questa attività include i costi per l'assicurazione Construction All Risks inizialmente allocati nei contratti di lavoro principali. Si tratta pertanto di una riclassificazione da altre attività quali 23, 24, 25 e 26.</w:t>
      </w:r>
    </w:p>
    <w:p w14:paraId="79570F1B" w14:textId="77777777" w:rsidR="00D45A32" w:rsidRPr="00CE4146" w:rsidRDefault="00D45A32" w:rsidP="00D45A32">
      <w:pPr>
        <w:spacing w:after="120" w:line="255" w:lineRule="exact"/>
        <w:jc w:val="both"/>
        <w:rPr>
          <w:rFonts w:ascii="Verdana" w:hAnsi="Verdana"/>
          <w:b/>
          <w:color w:val="000000"/>
          <w:spacing w:val="-6"/>
          <w:u w:val="single"/>
          <w:lang w:val="it-IT"/>
        </w:rPr>
      </w:pPr>
      <w:r w:rsidRPr="00CE4146">
        <w:rPr>
          <w:rFonts w:ascii="Verdana" w:hAnsi="Verdana"/>
          <w:b/>
          <w:color w:val="000000"/>
          <w:spacing w:val="-6"/>
          <w:u w:val="single"/>
          <w:lang w:val="it-IT"/>
        </w:rPr>
        <w:t xml:space="preserve">Conclusioni </w:t>
      </w:r>
    </w:p>
    <w:p w14:paraId="1BEB69F5" w14:textId="77777777" w:rsidR="00D45A32" w:rsidRPr="002C7A64" w:rsidRDefault="00D45A32" w:rsidP="00D45A32">
      <w:pPr>
        <w:spacing w:after="120" w:line="255" w:lineRule="exact"/>
        <w:jc w:val="both"/>
        <w:rPr>
          <w:rFonts w:ascii="Verdana" w:hAnsi="Verdana"/>
          <w:bCs/>
          <w:color w:val="000000"/>
          <w:spacing w:val="-6"/>
          <w:lang w:val="it-IT"/>
        </w:rPr>
      </w:pPr>
      <w:r w:rsidRPr="002C7A64">
        <w:rPr>
          <w:rFonts w:ascii="Verdana" w:hAnsi="Verdana"/>
          <w:bCs/>
          <w:color w:val="000000"/>
          <w:spacing w:val="-6"/>
          <w:lang w:val="it-IT"/>
        </w:rPr>
        <w:t>Con riferimento alla critica situazione geopolitica ed economica, non vi è alcuna garanzia che una crescita incontrollata dei prezzi non influisca sulla realizzazione degli obiettivi in futuro.</w:t>
      </w:r>
    </w:p>
    <w:p w14:paraId="6E42D976" w14:textId="4E51CFF1" w:rsidR="00D45A32" w:rsidRDefault="00D45A32" w:rsidP="00656E53">
      <w:pPr>
        <w:jc w:val="both"/>
        <w:rPr>
          <w:rFonts w:ascii="Verdana" w:hAnsi="Verdana"/>
          <w:bCs/>
          <w:color w:val="000000"/>
          <w:spacing w:val="-6"/>
          <w:lang w:val="it-IT"/>
        </w:rPr>
      </w:pPr>
      <w:r w:rsidRPr="002C7A64">
        <w:rPr>
          <w:rFonts w:ascii="Verdana" w:hAnsi="Verdana"/>
          <w:bCs/>
          <w:color w:val="000000"/>
          <w:spacing w:val="-6"/>
          <w:lang w:val="it-IT"/>
        </w:rPr>
        <w:t>Si tratta di una sfida che mette sotto pressione tutti i promotori in egual misura, nei vari corridoi, e per la quale sarà forse necessario attuare misure di flessibilità generale.</w:t>
      </w:r>
    </w:p>
    <w:p w14:paraId="29C2F147" w14:textId="77777777" w:rsidR="00656E53" w:rsidRPr="003227E6" w:rsidRDefault="00656E53" w:rsidP="00656E53">
      <w:pPr>
        <w:pBdr>
          <w:bottom w:val="single" w:sz="4" w:space="1" w:color="auto"/>
        </w:pBdr>
        <w:jc w:val="both"/>
        <w:rPr>
          <w:rFonts w:ascii="Arial" w:hAnsi="Arial"/>
          <w:b/>
          <w:color w:val="000000"/>
          <w:spacing w:val="-6"/>
          <w:sz w:val="20"/>
          <w:lang w:val="it-IT"/>
        </w:rPr>
      </w:pPr>
    </w:p>
    <w:p w14:paraId="65F6F3CC" w14:textId="77C8C4AB" w:rsidR="00D45A32" w:rsidRPr="00D45A32" w:rsidRDefault="00D45A32" w:rsidP="00D45A32">
      <w:pPr>
        <w:spacing w:after="120"/>
        <w:rPr>
          <w:rFonts w:ascii="Arial" w:hAnsi="Arial"/>
          <w:bCs/>
          <w:color w:val="000000"/>
          <w:spacing w:val="-6"/>
          <w:sz w:val="20"/>
          <w:lang w:val="it-IT"/>
        </w:rPr>
      </w:pPr>
    </w:p>
    <w:sectPr w:rsidR="00D45A32" w:rsidRPr="00D45A32" w:rsidSect="00656E53">
      <w:pgSz w:w="11918" w:h="16854"/>
      <w:pgMar w:top="993" w:right="1053" w:bottom="567" w:left="10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singleLevel"/>
    <w:tmpl w:val="CF092B84"/>
    <w:lvl w:ilvl="0">
      <w:start w:val="1"/>
      <w:numFmt w:val="bullet"/>
      <w:lvlText w:val=""/>
      <w:lvlJc w:val="left"/>
      <w:pPr>
        <w:tabs>
          <w:tab w:val="decimal" w:pos="288"/>
        </w:tabs>
        <w:ind w:left="720"/>
      </w:pPr>
      <w:rPr>
        <w:rFonts w:ascii="Symbol" w:hAnsi="Symbol"/>
        <w:strike w:val="0"/>
        <w:color w:val="000000"/>
        <w:spacing w:val="1"/>
        <w:w w:val="100"/>
        <w:sz w:val="18"/>
        <w:vertAlign w:val="baseline"/>
        <w:lang w:val="en-US"/>
      </w:rPr>
    </w:lvl>
  </w:abstractNum>
  <w:abstractNum w:abstractNumId="1" w15:restartNumberingAfterBreak="0">
    <w:nsid w:val="0053208E"/>
    <w:multiLevelType w:val="singleLevel"/>
    <w:tmpl w:val="0053208E"/>
    <w:lvl w:ilvl="0">
      <w:start w:val="1"/>
      <w:numFmt w:val="bullet"/>
      <w:lvlText w:val=""/>
      <w:lvlJc w:val="left"/>
      <w:pPr>
        <w:tabs>
          <w:tab w:val="decimal" w:pos="360"/>
        </w:tabs>
        <w:ind w:left="720"/>
      </w:pPr>
      <w:rPr>
        <w:rFonts w:ascii="Symbol" w:hAnsi="Symbol"/>
        <w:strike w:val="0"/>
        <w:color w:val="000000"/>
        <w:spacing w:val="1"/>
        <w:w w:val="100"/>
        <w:sz w:val="18"/>
        <w:vertAlign w:val="baseline"/>
        <w:lang w:val="en-US"/>
      </w:rPr>
    </w:lvl>
  </w:abstractNum>
  <w:abstractNum w:abstractNumId="2" w15:restartNumberingAfterBreak="0">
    <w:nsid w:val="59ADCABA"/>
    <w:multiLevelType w:val="singleLevel"/>
    <w:tmpl w:val="59ADCABA"/>
    <w:lvl w:ilvl="0">
      <w:start w:val="1"/>
      <w:numFmt w:val="bullet"/>
      <w:lvlText w:val=""/>
      <w:lvlJc w:val="left"/>
      <w:pPr>
        <w:tabs>
          <w:tab w:val="decimal" w:pos="432"/>
        </w:tabs>
        <w:ind w:left="720"/>
      </w:pPr>
      <w:rPr>
        <w:rFonts w:ascii="Symbol" w:hAnsi="Symbol"/>
        <w:i/>
        <w:strike w:val="0"/>
        <w:color w:val="000000"/>
        <w:spacing w:val="1"/>
        <w:w w:val="100"/>
        <w:sz w:val="20"/>
        <w:vertAlign w:val="baseline"/>
        <w:lang w:val="en-US"/>
      </w:rPr>
    </w:lvl>
  </w:abstractNum>
  <w:num w:numId="1" w16cid:durableId="419520258">
    <w:abstractNumId w:val="1"/>
  </w:num>
  <w:num w:numId="2" w16cid:durableId="2027057957">
    <w:abstractNumId w:val="0"/>
  </w:num>
  <w:num w:numId="3" w16cid:durableId="1654798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04C"/>
    <w:rsid w:val="00656E53"/>
    <w:rsid w:val="006C4EC5"/>
    <w:rsid w:val="0074104C"/>
    <w:rsid w:val="00C857D6"/>
    <w:rsid w:val="00CE4146"/>
    <w:rsid w:val="00D45A32"/>
    <w:rsid w:val="05615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86B5"/>
  <w15:docId w15:val="{3FD7ECA5-90D3-4636-AA2D-F74A4D45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2023</Words>
  <Characters>11131</Characters>
  <Application>Microsoft Office Word</Application>
  <DocSecurity>0</DocSecurity>
  <Lines>92</Lines>
  <Paragraphs>26</Paragraphs>
  <ScaleCrop>false</ScaleCrop>
  <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Maqroll</dc:creator>
  <cp:lastModifiedBy>click@mayombe.eu</cp:lastModifiedBy>
  <cp:revision>5</cp:revision>
  <dcterms:created xsi:type="dcterms:W3CDTF">2023-04-30T10:12:00Z</dcterms:created>
  <dcterms:modified xsi:type="dcterms:W3CDTF">2024-05-17T08:55:00Z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C3E45D52D80348B0B911286CADB69DEA</vt:lpwstr>
  </property>
</Properties>
</file>